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34" w:rsidRPr="007F7C2D" w:rsidRDefault="007F7C2D">
      <w:pPr>
        <w:pStyle w:val="4"/>
        <w:jc w:val="center"/>
        <w:rPr>
          <w:sz w:val="24"/>
        </w:rPr>
      </w:pPr>
      <w:bookmarkStart w:id="0" w:name="_GoBack"/>
      <w:r w:rsidRPr="007F7C2D">
        <w:rPr>
          <w:rFonts w:ascii="黑体" w:hint="eastAsia"/>
          <w:b w:val="0"/>
          <w:bCs/>
          <w:color w:val="3C4449"/>
          <w:sz w:val="24"/>
          <w:shd w:val="clear" w:color="auto" w:fill="E8E2DA"/>
        </w:rPr>
        <w:t>2019：深化改革开放应对内外部复杂局面</w:t>
      </w:r>
    </w:p>
    <w:bookmarkEnd w:id="0"/>
    <w:p w:rsidR="007B2D34" w:rsidRDefault="00643490">
      <w:pPr>
        <w:pStyle w:val="a3"/>
        <w:widowControl/>
        <w:shd w:val="clear" w:color="auto" w:fill="FFFFFF"/>
        <w:spacing w:before="132" w:beforeAutospacing="0" w:after="378" w:afterAutospacing="0"/>
        <w:jc w:val="center"/>
        <w:rPr>
          <w:rFonts w:ascii="Arial" w:eastAsia="宋体" w:hAnsi="Arial" w:cs="Arial"/>
          <w:color w:val="191919"/>
          <w:sz w:val="19"/>
          <w:szCs w:val="19"/>
          <w:shd w:val="clear" w:color="auto" w:fill="FFFFFF"/>
        </w:rPr>
      </w:pPr>
      <w:r>
        <w:rPr>
          <w:rFonts w:ascii="Arial" w:eastAsia="Arial" w:hAnsi="Arial" w:cs="Arial"/>
          <w:color w:val="191919"/>
          <w:sz w:val="19"/>
          <w:szCs w:val="19"/>
          <w:shd w:val="clear" w:color="auto" w:fill="FFFFFF"/>
        </w:rPr>
        <w:t>来源：《中国经济时报》</w:t>
      </w:r>
      <w:r>
        <w:rPr>
          <w:rFonts w:ascii="Arial" w:eastAsia="Arial" w:hAnsi="Arial" w:cs="Arial"/>
          <w:color w:val="191919"/>
          <w:sz w:val="19"/>
          <w:szCs w:val="19"/>
          <w:shd w:val="clear" w:color="auto" w:fill="FFFFFF"/>
        </w:rPr>
        <w:t>201</w:t>
      </w:r>
      <w:r>
        <w:rPr>
          <w:rFonts w:ascii="Arial" w:eastAsia="宋体" w:hAnsi="Arial" w:cs="Arial" w:hint="eastAsia"/>
          <w:color w:val="191919"/>
          <w:sz w:val="19"/>
          <w:szCs w:val="19"/>
          <w:shd w:val="clear" w:color="auto" w:fill="FFFFFF"/>
        </w:rPr>
        <w:t>9</w:t>
      </w:r>
      <w:r>
        <w:rPr>
          <w:rFonts w:ascii="Arial" w:eastAsia="Arial" w:hAnsi="Arial" w:cs="Arial"/>
          <w:color w:val="191919"/>
          <w:sz w:val="19"/>
          <w:szCs w:val="19"/>
          <w:shd w:val="clear" w:color="auto" w:fill="FFFFFF"/>
        </w:rPr>
        <w:t>年</w:t>
      </w:r>
      <w:r>
        <w:rPr>
          <w:rFonts w:ascii="Arial" w:eastAsia="Arial" w:hAnsi="Arial" w:cs="Arial"/>
          <w:color w:val="191919"/>
          <w:sz w:val="19"/>
          <w:szCs w:val="19"/>
          <w:shd w:val="clear" w:color="auto" w:fill="FFFFFF"/>
        </w:rPr>
        <w:t>1</w:t>
      </w:r>
      <w:r>
        <w:rPr>
          <w:rFonts w:ascii="Arial" w:eastAsia="Arial" w:hAnsi="Arial" w:cs="Arial"/>
          <w:color w:val="191919"/>
          <w:sz w:val="19"/>
          <w:szCs w:val="19"/>
          <w:shd w:val="clear" w:color="auto" w:fill="FFFFFF"/>
        </w:rPr>
        <w:t>月</w:t>
      </w:r>
      <w:r>
        <w:rPr>
          <w:rFonts w:ascii="Arial" w:eastAsia="宋体" w:hAnsi="Arial" w:cs="Arial" w:hint="eastAsia"/>
          <w:color w:val="191919"/>
          <w:sz w:val="19"/>
          <w:szCs w:val="19"/>
          <w:shd w:val="clear" w:color="auto" w:fill="FFFFFF"/>
        </w:rPr>
        <w:t>15</w:t>
      </w:r>
      <w:r>
        <w:rPr>
          <w:rFonts w:ascii="Arial" w:eastAsia="Arial" w:hAnsi="Arial" w:cs="Arial"/>
          <w:color w:val="191919"/>
          <w:sz w:val="19"/>
          <w:szCs w:val="19"/>
          <w:shd w:val="clear" w:color="auto" w:fill="FFFFFF"/>
        </w:rPr>
        <w:t>日</w:t>
      </w:r>
      <w:r>
        <w:rPr>
          <w:rFonts w:ascii="Arial" w:eastAsia="宋体" w:hAnsi="Arial" w:cs="Arial" w:hint="eastAsia"/>
          <w:color w:val="191919"/>
          <w:sz w:val="19"/>
          <w:szCs w:val="19"/>
          <w:shd w:val="clear" w:color="auto" w:fill="FFFFFF"/>
        </w:rPr>
        <w:t xml:space="preserve"> </w:t>
      </w:r>
    </w:p>
    <w:p w:rsidR="007B2D34" w:rsidRDefault="007B2D34">
      <w:pPr>
        <w:pStyle w:val="a3"/>
        <w:widowControl/>
        <w:shd w:val="clear" w:color="auto" w:fill="FFFFFF"/>
        <w:spacing w:before="132" w:beforeAutospacing="0" w:after="378" w:afterAutospacing="0"/>
        <w:jc w:val="center"/>
        <w:rPr>
          <w:rFonts w:ascii="Arial" w:eastAsia="宋体" w:hAnsi="Arial" w:cs="Arial"/>
          <w:color w:val="191919"/>
          <w:sz w:val="19"/>
          <w:szCs w:val="19"/>
          <w:shd w:val="clear" w:color="auto" w:fill="FFFFFF"/>
        </w:rPr>
      </w:pPr>
      <w:hyperlink r:id="rId7" w:history="1">
        <w:r w:rsidR="00643490">
          <w:rPr>
            <w:rStyle w:val="a6"/>
            <w:rFonts w:ascii="Arial" w:eastAsia="宋体" w:hAnsi="Arial" w:cs="Arial"/>
            <w:sz w:val="19"/>
            <w:szCs w:val="19"/>
            <w:shd w:val="clear" w:color="auto" w:fill="FFFFFF"/>
          </w:rPr>
          <w:t>http://jjsb.cet.com.cn/show_505849.html</w:t>
        </w:r>
      </w:hyperlink>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hint="eastAsia"/>
          <w:b/>
          <w:color w:val="333333"/>
          <w:sz w:val="21"/>
          <w:szCs w:val="21"/>
          <w:shd w:val="clear" w:color="auto" w:fill="FFFFFF"/>
        </w:rPr>
        <w:t>作者：</w:t>
      </w:r>
      <w:r>
        <w:rPr>
          <w:rFonts w:ascii="Arial" w:hAnsi="Arial" w:cs="Arial"/>
          <w:b/>
          <w:color w:val="333333"/>
          <w:sz w:val="21"/>
          <w:szCs w:val="21"/>
          <w:shd w:val="clear" w:color="auto" w:fill="FFFFFF"/>
        </w:rPr>
        <w:t>上海财经大学高等研究院中国宏观经济形势分析与预测课题组</w:t>
      </w:r>
      <w:r>
        <w:rPr>
          <w:rFonts w:ascii="Arial" w:hAnsi="Arial" w:cs="Arial"/>
          <w:b/>
          <w:color w:val="333333"/>
          <w:sz w:val="21"/>
          <w:szCs w:val="21"/>
          <w:shd w:val="clear" w:color="auto" w:fill="FFFFFF"/>
        </w:rPr>
        <w:t xml:space="preserve">（执笔：田国强，上海财经大学经济学院院长、高等研究院院长；黄晓东，上海财经大学高等研究院常务副院长；宫健，上海财经大学高等研究院博士后）　</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展望</w:t>
      </w:r>
      <w:r>
        <w:rPr>
          <w:rFonts w:ascii="Arial" w:hAnsi="Arial" w:cs="Arial"/>
          <w:color w:val="333333"/>
          <w:sz w:val="19"/>
          <w:szCs w:val="19"/>
          <w:shd w:val="clear" w:color="auto" w:fill="FFFFFF"/>
        </w:rPr>
        <w:t>2019</w:t>
      </w:r>
      <w:r>
        <w:rPr>
          <w:rFonts w:ascii="Arial" w:hAnsi="Arial" w:cs="Arial"/>
          <w:color w:val="333333"/>
          <w:sz w:val="19"/>
          <w:szCs w:val="19"/>
          <w:shd w:val="clear" w:color="auto" w:fill="FFFFFF"/>
        </w:rPr>
        <w:t>年，中国经济仍将展现增长韧性，课题组预计全年实际同比增速约为</w:t>
      </w:r>
      <w:r>
        <w:rPr>
          <w:rFonts w:ascii="Arial" w:hAnsi="Arial" w:cs="Arial"/>
          <w:color w:val="333333"/>
          <w:sz w:val="19"/>
          <w:szCs w:val="19"/>
          <w:shd w:val="clear" w:color="auto" w:fill="FFFFFF"/>
        </w:rPr>
        <w:t>6.4%</w:t>
      </w:r>
      <w:r>
        <w:rPr>
          <w:rFonts w:ascii="Arial" w:hAnsi="Arial" w:cs="Arial"/>
          <w:color w:val="333333"/>
          <w:sz w:val="19"/>
          <w:szCs w:val="19"/>
          <w:shd w:val="clear" w:color="auto" w:fill="FFFFFF"/>
        </w:rPr>
        <w:t>，与</w:t>
      </w:r>
      <w:r>
        <w:rPr>
          <w:rFonts w:ascii="Arial" w:hAnsi="Arial" w:cs="Arial"/>
          <w:color w:val="333333"/>
          <w:sz w:val="19"/>
          <w:szCs w:val="19"/>
          <w:shd w:val="clear" w:color="auto" w:fill="FFFFFF"/>
        </w:rPr>
        <w:t>2018</w:t>
      </w:r>
      <w:r>
        <w:rPr>
          <w:rFonts w:ascii="Arial" w:hAnsi="Arial" w:cs="Arial"/>
          <w:color w:val="333333"/>
          <w:sz w:val="19"/>
          <w:szCs w:val="19"/>
          <w:shd w:val="clear" w:color="auto" w:fill="FFFFFF"/>
        </w:rPr>
        <w:t>年的年度增速预测值</w:t>
      </w:r>
      <w:r>
        <w:rPr>
          <w:rFonts w:ascii="Arial" w:hAnsi="Arial" w:cs="Arial"/>
          <w:color w:val="333333"/>
          <w:sz w:val="19"/>
          <w:szCs w:val="19"/>
          <w:shd w:val="clear" w:color="auto" w:fill="FFFFFF"/>
        </w:rPr>
        <w:t>6.6%</w:t>
      </w:r>
      <w:r>
        <w:rPr>
          <w:rFonts w:ascii="Arial" w:hAnsi="Arial" w:cs="Arial"/>
          <w:color w:val="333333"/>
          <w:sz w:val="19"/>
          <w:szCs w:val="19"/>
          <w:shd w:val="clear" w:color="auto" w:fill="FFFFFF"/>
        </w:rPr>
        <w:t>相比略有下降。</w:t>
      </w:r>
      <w:r>
        <w:rPr>
          <w:rFonts w:ascii="Arial" w:hAnsi="Arial" w:cs="Arial"/>
          <w:color w:val="333333"/>
          <w:sz w:val="19"/>
          <w:szCs w:val="19"/>
          <w:shd w:val="clear" w:color="auto" w:fill="FFFFFF"/>
        </w:rPr>
        <w:t>2019</w:t>
      </w:r>
      <w:r>
        <w:rPr>
          <w:rFonts w:ascii="Arial" w:hAnsi="Arial" w:cs="Arial"/>
          <w:color w:val="333333"/>
          <w:sz w:val="19"/>
          <w:szCs w:val="19"/>
          <w:shd w:val="clear" w:color="auto" w:fill="FFFFFF"/>
        </w:rPr>
        <w:t>年</w:t>
      </w:r>
      <w:r>
        <w:rPr>
          <w:rFonts w:ascii="Arial" w:hAnsi="Arial" w:cs="Arial"/>
          <w:color w:val="333333"/>
          <w:sz w:val="19"/>
          <w:szCs w:val="19"/>
          <w:shd w:val="clear" w:color="auto" w:fill="FFFFFF"/>
        </w:rPr>
        <w:t>1—4</w:t>
      </w:r>
      <w:r>
        <w:rPr>
          <w:rFonts w:ascii="Arial" w:hAnsi="Arial" w:cs="Arial"/>
          <w:color w:val="333333"/>
          <w:sz w:val="19"/>
          <w:szCs w:val="19"/>
          <w:shd w:val="clear" w:color="auto" w:fill="FFFFFF"/>
        </w:rPr>
        <w:t>季度的预期增长率分别为</w:t>
      </w:r>
      <w:r>
        <w:rPr>
          <w:rFonts w:ascii="Arial" w:hAnsi="Arial" w:cs="Arial"/>
          <w:color w:val="333333"/>
          <w:sz w:val="19"/>
          <w:szCs w:val="19"/>
          <w:shd w:val="clear" w:color="auto" w:fill="FFFFFF"/>
        </w:rPr>
        <w:t>6.3%</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6.4%</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6.5%</w:t>
      </w:r>
      <w:r>
        <w:rPr>
          <w:rFonts w:ascii="Arial" w:hAnsi="Arial" w:cs="Arial"/>
          <w:color w:val="333333"/>
          <w:sz w:val="19"/>
          <w:szCs w:val="19"/>
          <w:shd w:val="clear" w:color="auto" w:fill="FFFFFF"/>
        </w:rPr>
        <w:t>和</w:t>
      </w:r>
      <w:r>
        <w:rPr>
          <w:rFonts w:ascii="Arial" w:hAnsi="Arial" w:cs="Arial"/>
          <w:color w:val="333333"/>
          <w:sz w:val="19"/>
          <w:szCs w:val="19"/>
          <w:shd w:val="clear" w:color="auto" w:fill="FFFFFF"/>
        </w:rPr>
        <w:t>6.5%</w:t>
      </w:r>
      <w:r>
        <w:rPr>
          <w:rFonts w:ascii="Arial" w:hAnsi="Arial" w:cs="Arial"/>
          <w:color w:val="333333"/>
          <w:sz w:val="19"/>
          <w:szCs w:val="19"/>
          <w:shd w:val="clear" w:color="auto" w:fill="FFFFFF"/>
        </w:rPr>
        <w:t>，在此基础上全年</w:t>
      </w:r>
      <w:r>
        <w:rPr>
          <w:rFonts w:ascii="Arial" w:hAnsi="Arial" w:cs="Arial"/>
          <w:color w:val="333333"/>
          <w:sz w:val="19"/>
          <w:szCs w:val="19"/>
          <w:shd w:val="clear" w:color="auto" w:fill="FFFFFF"/>
        </w:rPr>
        <w:t>GDP</w:t>
      </w:r>
      <w:r>
        <w:rPr>
          <w:rFonts w:ascii="Arial" w:hAnsi="Arial" w:cs="Arial"/>
          <w:color w:val="333333"/>
          <w:sz w:val="19"/>
          <w:szCs w:val="19"/>
          <w:shd w:val="clear" w:color="auto" w:fill="FFFFFF"/>
        </w:rPr>
        <w:t>实际增速为</w:t>
      </w:r>
      <w:r>
        <w:rPr>
          <w:rFonts w:ascii="Arial" w:hAnsi="Arial" w:cs="Arial"/>
          <w:color w:val="333333"/>
          <w:sz w:val="19"/>
          <w:szCs w:val="19"/>
          <w:shd w:val="clear" w:color="auto" w:fill="FFFFFF"/>
        </w:rPr>
        <w:t>6.4%</w:t>
      </w:r>
      <w:r>
        <w:rPr>
          <w:rFonts w:ascii="Arial" w:hAnsi="Arial" w:cs="Arial"/>
          <w:color w:val="333333"/>
          <w:sz w:val="19"/>
          <w:szCs w:val="19"/>
          <w:shd w:val="clear" w:color="auto" w:fill="FFFFFF"/>
        </w:rPr>
        <w:t>，经校正后的实际增速为</w:t>
      </w:r>
      <w:r>
        <w:rPr>
          <w:rFonts w:ascii="Arial" w:hAnsi="Arial" w:cs="Arial"/>
          <w:color w:val="333333"/>
          <w:sz w:val="19"/>
          <w:szCs w:val="19"/>
          <w:shd w:val="clear" w:color="auto" w:fill="FFFFFF"/>
        </w:rPr>
        <w:t>6.1%</w:t>
      </w:r>
      <w:r>
        <w:rPr>
          <w:rFonts w:ascii="Arial" w:hAnsi="Arial" w:cs="Arial"/>
          <w:color w:val="333333"/>
          <w:sz w:val="19"/>
          <w:szCs w:val="19"/>
          <w:shd w:val="clear" w:color="auto" w:fill="FFFFFF"/>
        </w:rPr>
        <w:t>左右（见表）。</w:t>
      </w:r>
    </w:p>
    <w:p w:rsidR="007B2D34" w:rsidRDefault="00643490">
      <w:pPr>
        <w:widowControl/>
        <w:shd w:val="clear" w:color="auto" w:fill="FFFFFF"/>
        <w:spacing w:before="360"/>
        <w:jc w:val="left"/>
        <w:rPr>
          <w:rFonts w:ascii="Arial" w:hAnsi="Arial" w:cs="Arial"/>
          <w:color w:val="000000"/>
          <w:sz w:val="14"/>
          <w:szCs w:val="14"/>
        </w:rPr>
      </w:pPr>
      <w:r>
        <w:rPr>
          <w:rFonts w:ascii="Arial" w:eastAsia="宋体" w:hAnsi="Arial" w:cs="Arial"/>
          <w:noProof/>
          <w:color w:val="000000"/>
          <w:kern w:val="0"/>
          <w:sz w:val="14"/>
          <w:szCs w:val="14"/>
          <w:shd w:val="clear" w:color="auto" w:fill="FFFFFF"/>
        </w:rPr>
        <w:drawing>
          <wp:inline distT="0" distB="0" distL="114300" distR="114300">
            <wp:extent cx="4076700" cy="3133725"/>
            <wp:effectExtent l="0" t="0" r="7620" b="571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8" cstate="print"/>
                    <a:stretch>
                      <a:fillRect/>
                    </a:stretch>
                  </pic:blipFill>
                  <pic:spPr>
                    <a:xfrm>
                      <a:off x="0" y="0"/>
                      <a:ext cx="4076700" cy="3133725"/>
                    </a:xfrm>
                    <a:prstGeom prst="rect">
                      <a:avLst/>
                    </a:prstGeom>
                    <a:noFill/>
                    <a:ln w="9525">
                      <a:noFill/>
                    </a:ln>
                  </pic:spPr>
                </pic:pic>
              </a:graphicData>
            </a:graphic>
          </wp:inline>
        </w:drawing>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b/>
          <w:color w:val="333333"/>
          <w:sz w:val="21"/>
          <w:szCs w:val="21"/>
          <w:shd w:val="clear" w:color="auto" w:fill="FFFFFF"/>
        </w:rPr>
        <w:t>经济政策制定需要重点关注的环节</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b/>
          <w:color w:val="333333"/>
          <w:sz w:val="21"/>
          <w:szCs w:val="21"/>
          <w:shd w:val="clear" w:color="auto" w:fill="FFFFFF"/>
        </w:rPr>
        <w:t>（一）家庭债务负担加重、结构分化，抑制居民消费增长</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课题组自从</w:t>
      </w:r>
      <w:r>
        <w:rPr>
          <w:rFonts w:ascii="Arial" w:hAnsi="Arial" w:cs="Arial"/>
          <w:color w:val="333333"/>
          <w:sz w:val="19"/>
          <w:szCs w:val="19"/>
          <w:shd w:val="clear" w:color="auto" w:fill="FFFFFF"/>
        </w:rPr>
        <w:t>2017</w:t>
      </w:r>
      <w:r>
        <w:rPr>
          <w:rFonts w:ascii="Arial" w:hAnsi="Arial" w:cs="Arial"/>
          <w:color w:val="333333"/>
          <w:sz w:val="19"/>
          <w:szCs w:val="19"/>
          <w:shd w:val="clear" w:color="auto" w:fill="FFFFFF"/>
        </w:rPr>
        <w:t>年中期报告开始，就已针对家庭债务累积的风险提出预警。在</w:t>
      </w:r>
      <w:r>
        <w:rPr>
          <w:rFonts w:ascii="Arial" w:hAnsi="Arial" w:cs="Arial"/>
          <w:color w:val="333333"/>
          <w:sz w:val="19"/>
          <w:szCs w:val="19"/>
          <w:shd w:val="clear" w:color="auto" w:fill="FFFFFF"/>
        </w:rPr>
        <w:t>2018</w:t>
      </w:r>
      <w:r>
        <w:rPr>
          <w:rFonts w:ascii="Arial" w:hAnsi="Arial" w:cs="Arial"/>
          <w:color w:val="333333"/>
          <w:sz w:val="19"/>
          <w:szCs w:val="19"/>
          <w:shd w:val="clear" w:color="auto" w:fill="FFFFFF"/>
        </w:rPr>
        <w:t>年中期报告中，分省数据也支持了家庭负债率提升对消费</w:t>
      </w:r>
      <w:r>
        <w:rPr>
          <w:rFonts w:ascii="Arial" w:hAnsi="Arial" w:cs="Arial"/>
          <w:color w:val="333333"/>
          <w:sz w:val="19"/>
          <w:szCs w:val="19"/>
          <w:shd w:val="clear" w:color="auto" w:fill="FFFFFF"/>
        </w:rPr>
        <w:t>的挤出。回顾</w:t>
      </w:r>
      <w:r>
        <w:rPr>
          <w:rFonts w:ascii="Arial" w:hAnsi="Arial" w:cs="Arial"/>
          <w:color w:val="333333"/>
          <w:sz w:val="19"/>
          <w:szCs w:val="19"/>
          <w:shd w:val="clear" w:color="auto" w:fill="FFFFFF"/>
        </w:rPr>
        <w:t>2018</w:t>
      </w:r>
      <w:r>
        <w:rPr>
          <w:rFonts w:ascii="Arial" w:hAnsi="Arial" w:cs="Arial"/>
          <w:color w:val="333333"/>
          <w:sz w:val="19"/>
          <w:szCs w:val="19"/>
          <w:shd w:val="clear" w:color="auto" w:fill="FFFFFF"/>
        </w:rPr>
        <w:t>年，受房地产市场降温的影响，居民中长期债务新增额较</w:t>
      </w:r>
      <w:r>
        <w:rPr>
          <w:rFonts w:ascii="Arial" w:hAnsi="Arial" w:cs="Arial"/>
          <w:color w:val="333333"/>
          <w:sz w:val="19"/>
          <w:szCs w:val="19"/>
          <w:shd w:val="clear" w:color="auto" w:fill="FFFFFF"/>
        </w:rPr>
        <w:t>2017</w:t>
      </w:r>
      <w:r>
        <w:rPr>
          <w:rFonts w:ascii="Arial" w:hAnsi="Arial" w:cs="Arial"/>
          <w:color w:val="333333"/>
          <w:sz w:val="19"/>
          <w:szCs w:val="19"/>
          <w:shd w:val="clear" w:color="auto" w:fill="FFFFFF"/>
        </w:rPr>
        <w:t>年有所下降，并且从长期来看，长期债务占新增贷款总额的比例也呈下降趋势：</w:t>
      </w:r>
      <w:r>
        <w:rPr>
          <w:rFonts w:ascii="Arial" w:hAnsi="Arial" w:cs="Arial"/>
          <w:color w:val="333333"/>
          <w:sz w:val="19"/>
          <w:szCs w:val="19"/>
          <w:shd w:val="clear" w:color="auto" w:fill="FFFFFF"/>
        </w:rPr>
        <w:t>11</w:t>
      </w:r>
      <w:r>
        <w:rPr>
          <w:rFonts w:ascii="Arial" w:hAnsi="Arial" w:cs="Arial"/>
          <w:color w:val="333333"/>
          <w:sz w:val="19"/>
          <w:szCs w:val="19"/>
          <w:shd w:val="clear" w:color="auto" w:fill="FFFFFF"/>
        </w:rPr>
        <w:t>月居民户新增人民币中长期贷款</w:t>
      </w:r>
      <w:r>
        <w:rPr>
          <w:rFonts w:ascii="Arial" w:hAnsi="Arial" w:cs="Arial"/>
          <w:color w:val="333333"/>
          <w:sz w:val="19"/>
          <w:szCs w:val="19"/>
          <w:shd w:val="clear" w:color="auto" w:fill="FFFFFF"/>
        </w:rPr>
        <w:t>4391</w:t>
      </w:r>
      <w:r>
        <w:rPr>
          <w:rFonts w:ascii="Arial" w:hAnsi="Arial" w:cs="Arial"/>
          <w:color w:val="333333"/>
          <w:sz w:val="19"/>
          <w:szCs w:val="19"/>
          <w:shd w:val="clear" w:color="auto" w:fill="FFFFFF"/>
        </w:rPr>
        <w:t>亿元，虽然比上年</w:t>
      </w:r>
      <w:proofErr w:type="gramStart"/>
      <w:r>
        <w:rPr>
          <w:rFonts w:ascii="Arial" w:hAnsi="Arial" w:cs="Arial"/>
          <w:color w:val="333333"/>
          <w:sz w:val="19"/>
          <w:szCs w:val="19"/>
          <w:shd w:val="clear" w:color="auto" w:fill="FFFFFF"/>
        </w:rPr>
        <w:t>同期规模</w:t>
      </w:r>
      <w:proofErr w:type="gramEnd"/>
      <w:r>
        <w:rPr>
          <w:rFonts w:ascii="Arial" w:hAnsi="Arial" w:cs="Arial"/>
          <w:color w:val="333333"/>
          <w:sz w:val="19"/>
          <w:szCs w:val="19"/>
          <w:shd w:val="clear" w:color="auto" w:fill="FFFFFF"/>
        </w:rPr>
        <w:t>扩大</w:t>
      </w:r>
      <w:r>
        <w:rPr>
          <w:rFonts w:ascii="Arial" w:hAnsi="Arial" w:cs="Arial"/>
          <w:color w:val="333333"/>
          <w:sz w:val="19"/>
          <w:szCs w:val="19"/>
          <w:shd w:val="clear" w:color="auto" w:fill="FFFFFF"/>
        </w:rPr>
        <w:t>200</w:t>
      </w:r>
      <w:r>
        <w:rPr>
          <w:rFonts w:ascii="Arial" w:hAnsi="Arial" w:cs="Arial"/>
          <w:color w:val="333333"/>
          <w:sz w:val="19"/>
          <w:szCs w:val="19"/>
          <w:shd w:val="clear" w:color="auto" w:fill="FFFFFF"/>
        </w:rPr>
        <w:t>多亿元，但仍比年初降低了近</w:t>
      </w:r>
      <w:r>
        <w:rPr>
          <w:rFonts w:ascii="Arial" w:hAnsi="Arial" w:cs="Arial"/>
          <w:color w:val="333333"/>
          <w:sz w:val="19"/>
          <w:szCs w:val="19"/>
          <w:shd w:val="clear" w:color="auto" w:fill="FFFFFF"/>
        </w:rPr>
        <w:t>1500</w:t>
      </w:r>
      <w:r>
        <w:rPr>
          <w:rFonts w:ascii="Arial" w:hAnsi="Arial" w:cs="Arial"/>
          <w:color w:val="333333"/>
          <w:sz w:val="19"/>
          <w:szCs w:val="19"/>
          <w:shd w:val="clear" w:color="auto" w:fill="FFFFFF"/>
        </w:rPr>
        <w:t>亿元；截至</w:t>
      </w:r>
      <w:r>
        <w:rPr>
          <w:rFonts w:ascii="Arial" w:hAnsi="Arial" w:cs="Arial"/>
          <w:color w:val="333333"/>
          <w:sz w:val="19"/>
          <w:szCs w:val="19"/>
          <w:shd w:val="clear" w:color="auto" w:fill="FFFFFF"/>
        </w:rPr>
        <w:t>11</w:t>
      </w:r>
      <w:r>
        <w:rPr>
          <w:rFonts w:ascii="Arial" w:hAnsi="Arial" w:cs="Arial"/>
          <w:color w:val="333333"/>
          <w:sz w:val="19"/>
          <w:szCs w:val="19"/>
          <w:shd w:val="clear" w:color="auto" w:fill="FFFFFF"/>
        </w:rPr>
        <w:t>月的累积新增额也比上年同期减少</w:t>
      </w:r>
      <w:r>
        <w:rPr>
          <w:rFonts w:ascii="Arial" w:hAnsi="Arial" w:cs="Arial"/>
          <w:color w:val="333333"/>
          <w:sz w:val="19"/>
          <w:szCs w:val="19"/>
          <w:shd w:val="clear" w:color="auto" w:fill="FFFFFF"/>
        </w:rPr>
        <w:t>3000</w:t>
      </w:r>
      <w:r>
        <w:rPr>
          <w:rFonts w:ascii="Arial" w:hAnsi="Arial" w:cs="Arial"/>
          <w:color w:val="333333"/>
          <w:sz w:val="19"/>
          <w:szCs w:val="19"/>
          <w:shd w:val="clear" w:color="auto" w:fill="FFFFFF"/>
        </w:rPr>
        <w:t>多亿元。与中长期贷款新增额的平稳下降不同，除了部分月份（</w:t>
      </w:r>
      <w:r>
        <w:rPr>
          <w:rFonts w:ascii="Arial" w:hAnsi="Arial" w:cs="Arial"/>
          <w:color w:val="333333"/>
          <w:sz w:val="19"/>
          <w:szCs w:val="19"/>
          <w:shd w:val="clear" w:color="auto" w:fill="FFFFFF"/>
        </w:rPr>
        <w:t>4</w:t>
      </w:r>
      <w:r>
        <w:rPr>
          <w:rFonts w:ascii="Arial" w:hAnsi="Arial" w:cs="Arial"/>
          <w:color w:val="333333"/>
          <w:sz w:val="19"/>
          <w:szCs w:val="19"/>
          <w:shd w:val="clear" w:color="auto" w:fill="FFFFFF"/>
        </w:rPr>
        <w:t>月与</w:t>
      </w:r>
      <w:r>
        <w:rPr>
          <w:rFonts w:ascii="Arial" w:hAnsi="Arial" w:cs="Arial"/>
          <w:color w:val="333333"/>
          <w:sz w:val="19"/>
          <w:szCs w:val="19"/>
          <w:shd w:val="clear" w:color="auto" w:fill="FFFFFF"/>
        </w:rPr>
        <w:t>7</w:t>
      </w:r>
      <w:r>
        <w:rPr>
          <w:rFonts w:ascii="Arial" w:hAnsi="Arial" w:cs="Arial"/>
          <w:color w:val="333333"/>
          <w:sz w:val="19"/>
          <w:szCs w:val="19"/>
          <w:shd w:val="clear" w:color="auto" w:fill="FFFFFF"/>
        </w:rPr>
        <w:t>月）出现短暂回调外，居民短期贷款新增额一直呈现上升趋势，</w:t>
      </w:r>
      <w:r>
        <w:rPr>
          <w:rFonts w:ascii="Arial" w:hAnsi="Arial" w:cs="Arial"/>
          <w:color w:val="333333"/>
          <w:sz w:val="19"/>
          <w:szCs w:val="19"/>
          <w:shd w:val="clear" w:color="auto" w:fill="FFFFFF"/>
        </w:rPr>
        <w:t>2018</w:t>
      </w:r>
      <w:r>
        <w:rPr>
          <w:rFonts w:ascii="Arial" w:hAnsi="Arial" w:cs="Arial"/>
          <w:color w:val="333333"/>
          <w:sz w:val="19"/>
          <w:szCs w:val="19"/>
          <w:shd w:val="clear" w:color="auto" w:fill="FFFFFF"/>
        </w:rPr>
        <w:t>年</w:t>
      </w:r>
      <w:r>
        <w:rPr>
          <w:rFonts w:ascii="Arial" w:hAnsi="Arial" w:cs="Arial"/>
          <w:color w:val="333333"/>
          <w:sz w:val="19"/>
          <w:szCs w:val="19"/>
          <w:shd w:val="clear" w:color="auto" w:fill="FFFFFF"/>
        </w:rPr>
        <w:t>11</w:t>
      </w:r>
      <w:r>
        <w:rPr>
          <w:rFonts w:ascii="Arial" w:hAnsi="Arial" w:cs="Arial"/>
          <w:color w:val="333333"/>
          <w:sz w:val="19"/>
          <w:szCs w:val="19"/>
          <w:shd w:val="clear" w:color="auto" w:fill="FFFFFF"/>
        </w:rPr>
        <w:t>月，居民户当月新增人民币短期贷款</w:t>
      </w:r>
      <w:r>
        <w:rPr>
          <w:rFonts w:ascii="Arial" w:hAnsi="Arial" w:cs="Arial"/>
          <w:color w:val="333333"/>
          <w:sz w:val="19"/>
          <w:szCs w:val="19"/>
          <w:shd w:val="clear" w:color="auto" w:fill="FFFFFF"/>
        </w:rPr>
        <w:t>2169</w:t>
      </w:r>
      <w:r>
        <w:rPr>
          <w:rFonts w:ascii="Arial" w:hAnsi="Arial" w:cs="Arial"/>
          <w:color w:val="333333"/>
          <w:sz w:val="19"/>
          <w:szCs w:val="19"/>
          <w:shd w:val="clear" w:color="auto" w:fill="FFFFFF"/>
        </w:rPr>
        <w:t>亿元，累计新增</w:t>
      </w:r>
      <w:r>
        <w:rPr>
          <w:rFonts w:ascii="Arial" w:hAnsi="Arial" w:cs="Arial"/>
          <w:color w:val="333333"/>
          <w:sz w:val="19"/>
          <w:szCs w:val="19"/>
          <w:shd w:val="clear" w:color="auto" w:fill="FFFFFF"/>
        </w:rPr>
        <w:t>2.25</w:t>
      </w:r>
      <w:proofErr w:type="gramStart"/>
      <w:r>
        <w:rPr>
          <w:rFonts w:ascii="Arial" w:hAnsi="Arial" w:cs="Arial"/>
          <w:color w:val="333333"/>
          <w:sz w:val="19"/>
          <w:szCs w:val="19"/>
          <w:shd w:val="clear" w:color="auto" w:fill="FFFFFF"/>
        </w:rPr>
        <w:t>万亿</w:t>
      </w:r>
      <w:proofErr w:type="gramEnd"/>
      <w:r>
        <w:rPr>
          <w:rFonts w:ascii="Arial" w:hAnsi="Arial" w:cs="Arial"/>
          <w:color w:val="333333"/>
          <w:sz w:val="19"/>
          <w:szCs w:val="19"/>
          <w:shd w:val="clear" w:color="auto" w:fill="FFFFFF"/>
        </w:rPr>
        <w:t>元，</w:t>
      </w:r>
      <w:r>
        <w:rPr>
          <w:rFonts w:ascii="Arial" w:hAnsi="Arial" w:cs="Arial"/>
          <w:color w:val="333333"/>
          <w:sz w:val="19"/>
          <w:szCs w:val="19"/>
          <w:shd w:val="clear" w:color="auto" w:fill="FFFFFF"/>
        </w:rPr>
        <w:t>比上年同期增加</w:t>
      </w:r>
      <w:r>
        <w:rPr>
          <w:rFonts w:ascii="Arial" w:hAnsi="Arial" w:cs="Arial"/>
          <w:color w:val="333333"/>
          <w:sz w:val="19"/>
          <w:szCs w:val="19"/>
          <w:shd w:val="clear" w:color="auto" w:fill="FFFFFF"/>
        </w:rPr>
        <w:t>4400</w:t>
      </w:r>
      <w:r>
        <w:rPr>
          <w:rFonts w:ascii="Arial" w:hAnsi="Arial" w:cs="Arial"/>
          <w:color w:val="333333"/>
          <w:sz w:val="19"/>
          <w:szCs w:val="19"/>
          <w:shd w:val="clear" w:color="auto" w:fill="FFFFFF"/>
        </w:rPr>
        <w:t>多亿元，累计新增额已经接近中长期贷款新增额的近一半，并呈现继续增长态势。</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lastRenderedPageBreak/>
        <w:t>另外，主导长期债务增长的是消费贷款的增加。由于中长期贷款中的消费贷款更多是住房抵押贷款，故而可判断出，从</w:t>
      </w:r>
      <w:r>
        <w:rPr>
          <w:rFonts w:ascii="Arial" w:hAnsi="Arial" w:cs="Arial"/>
          <w:color w:val="333333"/>
          <w:sz w:val="19"/>
          <w:szCs w:val="19"/>
          <w:shd w:val="clear" w:color="auto" w:fill="FFFFFF"/>
        </w:rPr>
        <w:t>2016</w:t>
      </w:r>
      <w:r>
        <w:rPr>
          <w:rFonts w:ascii="Arial" w:hAnsi="Arial" w:cs="Arial"/>
          <w:color w:val="333333"/>
          <w:sz w:val="19"/>
          <w:szCs w:val="19"/>
          <w:shd w:val="clear" w:color="auto" w:fill="FFFFFF"/>
        </w:rPr>
        <w:t>年初开始，伴随着房地产市场的升温，家庭部门在</w:t>
      </w:r>
      <w:r>
        <w:rPr>
          <w:rFonts w:ascii="Arial" w:hAnsi="Arial" w:cs="Arial"/>
          <w:color w:val="333333"/>
          <w:sz w:val="19"/>
          <w:szCs w:val="19"/>
          <w:shd w:val="clear" w:color="auto" w:fill="FFFFFF"/>
        </w:rPr>
        <w:t>3</w:t>
      </w:r>
      <w:r>
        <w:rPr>
          <w:rFonts w:ascii="Arial" w:hAnsi="Arial" w:cs="Arial"/>
          <w:color w:val="333333"/>
          <w:sz w:val="19"/>
          <w:szCs w:val="19"/>
          <w:shd w:val="clear" w:color="auto" w:fill="FFFFFF"/>
        </w:rPr>
        <w:t>年间积累了超过</w:t>
      </w:r>
      <w:r>
        <w:rPr>
          <w:rFonts w:ascii="Arial" w:hAnsi="Arial" w:cs="Arial"/>
          <w:color w:val="333333"/>
          <w:sz w:val="19"/>
          <w:szCs w:val="19"/>
          <w:shd w:val="clear" w:color="auto" w:fill="FFFFFF"/>
        </w:rPr>
        <w:t>20</w:t>
      </w:r>
      <w:proofErr w:type="gramStart"/>
      <w:r>
        <w:rPr>
          <w:rFonts w:ascii="Arial" w:hAnsi="Arial" w:cs="Arial"/>
          <w:color w:val="333333"/>
          <w:sz w:val="19"/>
          <w:szCs w:val="19"/>
          <w:shd w:val="clear" w:color="auto" w:fill="FFFFFF"/>
        </w:rPr>
        <w:t>万亿</w:t>
      </w:r>
      <w:proofErr w:type="gramEnd"/>
      <w:r>
        <w:rPr>
          <w:rFonts w:ascii="Arial" w:hAnsi="Arial" w:cs="Arial"/>
          <w:color w:val="333333"/>
          <w:sz w:val="19"/>
          <w:szCs w:val="19"/>
          <w:shd w:val="clear" w:color="auto" w:fill="FFFFFF"/>
        </w:rPr>
        <w:t>元的房贷，导致大量家庭的财富与房产绑定。目前的制度下，我国房地产市场尚不支持房屋净值贷款，因此房产的资本效应难以得到有效体现。这就造成房价上升时，家庭不能利用房屋增值部分获取抵押贷款，但新增房</w:t>
      </w:r>
      <w:proofErr w:type="gramStart"/>
      <w:r>
        <w:rPr>
          <w:rFonts w:ascii="Arial" w:hAnsi="Arial" w:cs="Arial"/>
          <w:color w:val="333333"/>
          <w:sz w:val="19"/>
          <w:szCs w:val="19"/>
          <w:shd w:val="clear" w:color="auto" w:fill="FFFFFF"/>
        </w:rPr>
        <w:t>贷产生</w:t>
      </w:r>
      <w:proofErr w:type="gramEnd"/>
      <w:r>
        <w:rPr>
          <w:rFonts w:ascii="Arial" w:hAnsi="Arial" w:cs="Arial"/>
          <w:color w:val="333333"/>
          <w:sz w:val="19"/>
          <w:szCs w:val="19"/>
          <w:shd w:val="clear" w:color="auto" w:fill="FFFFFF"/>
        </w:rPr>
        <w:t>的</w:t>
      </w:r>
      <w:proofErr w:type="gramStart"/>
      <w:r>
        <w:rPr>
          <w:rFonts w:ascii="Arial" w:hAnsi="Arial" w:cs="Arial"/>
          <w:color w:val="333333"/>
          <w:sz w:val="19"/>
          <w:szCs w:val="19"/>
          <w:shd w:val="clear" w:color="auto" w:fill="FFFFFF"/>
        </w:rPr>
        <w:t>还款流却在</w:t>
      </w:r>
      <w:proofErr w:type="gramEnd"/>
      <w:r>
        <w:rPr>
          <w:rFonts w:ascii="Arial" w:hAnsi="Arial" w:cs="Arial"/>
          <w:color w:val="333333"/>
          <w:sz w:val="19"/>
          <w:szCs w:val="19"/>
          <w:shd w:val="clear" w:color="auto" w:fill="FFFFFF"/>
        </w:rPr>
        <w:t>侵蚀家庭的资产，自然就会挤</w:t>
      </w:r>
      <w:r>
        <w:rPr>
          <w:rFonts w:ascii="Arial" w:hAnsi="Arial" w:cs="Arial"/>
          <w:color w:val="333333"/>
          <w:sz w:val="19"/>
          <w:szCs w:val="19"/>
          <w:shd w:val="clear" w:color="auto" w:fill="FFFFFF"/>
        </w:rPr>
        <w:t>出家庭的消费。放大到宏观层面，家庭债务对流动性的侵蚀、对总需求的挤出，恐怕将成为未来棘手的结构性问题（见图</w:t>
      </w:r>
      <w:r>
        <w:rPr>
          <w:rFonts w:ascii="Arial" w:hAnsi="Arial" w:cs="Arial"/>
          <w:color w:val="333333"/>
          <w:sz w:val="19"/>
          <w:szCs w:val="19"/>
          <w:shd w:val="clear" w:color="auto" w:fill="FFFFFF"/>
        </w:rPr>
        <w:t>1</w:t>
      </w:r>
      <w:r>
        <w:rPr>
          <w:rFonts w:ascii="Arial" w:hAnsi="Arial" w:cs="Arial"/>
          <w:color w:val="333333"/>
          <w:sz w:val="19"/>
          <w:szCs w:val="19"/>
          <w:shd w:val="clear" w:color="auto" w:fill="FFFFFF"/>
        </w:rPr>
        <w:t>）。</w:t>
      </w:r>
    </w:p>
    <w:p w:rsidR="007B2D34" w:rsidRDefault="00643490">
      <w:pPr>
        <w:widowControl/>
        <w:shd w:val="clear" w:color="auto" w:fill="FFFFFF"/>
        <w:spacing w:before="360"/>
        <w:jc w:val="left"/>
        <w:rPr>
          <w:rFonts w:ascii="Arial" w:hAnsi="Arial" w:cs="Arial"/>
          <w:color w:val="000000"/>
          <w:sz w:val="14"/>
          <w:szCs w:val="14"/>
        </w:rPr>
      </w:pPr>
      <w:r>
        <w:rPr>
          <w:rFonts w:ascii="Arial" w:eastAsia="宋体" w:hAnsi="Arial" w:cs="Arial"/>
          <w:noProof/>
          <w:color w:val="000000"/>
          <w:kern w:val="0"/>
          <w:sz w:val="14"/>
          <w:szCs w:val="14"/>
          <w:shd w:val="clear" w:color="auto" w:fill="FFFFFF"/>
        </w:rPr>
        <w:drawing>
          <wp:inline distT="0" distB="0" distL="114300" distR="114300">
            <wp:extent cx="4514850" cy="3152775"/>
            <wp:effectExtent l="0" t="0" r="11430" b="190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9" cstate="print"/>
                    <a:stretch>
                      <a:fillRect/>
                    </a:stretch>
                  </pic:blipFill>
                  <pic:spPr>
                    <a:xfrm>
                      <a:off x="0" y="0"/>
                      <a:ext cx="4514850" cy="3152775"/>
                    </a:xfrm>
                    <a:prstGeom prst="rect">
                      <a:avLst/>
                    </a:prstGeom>
                    <a:noFill/>
                    <a:ln w="9525">
                      <a:noFill/>
                    </a:ln>
                  </pic:spPr>
                </pic:pic>
              </a:graphicData>
            </a:graphic>
          </wp:inline>
        </w:drawing>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除了债务规模整体攀升外，家庭债务积累速度的区域差异化程度也是提高的。截止到</w:t>
      </w:r>
      <w:r>
        <w:rPr>
          <w:rFonts w:ascii="Arial" w:hAnsi="Arial" w:cs="Arial"/>
          <w:color w:val="333333"/>
          <w:sz w:val="19"/>
          <w:szCs w:val="19"/>
          <w:shd w:val="clear" w:color="auto" w:fill="FFFFFF"/>
        </w:rPr>
        <w:t>2018</w:t>
      </w:r>
      <w:r>
        <w:rPr>
          <w:rFonts w:ascii="Arial" w:hAnsi="Arial" w:cs="Arial"/>
          <w:color w:val="333333"/>
          <w:sz w:val="19"/>
          <w:szCs w:val="19"/>
          <w:shd w:val="clear" w:color="auto" w:fill="FFFFFF"/>
        </w:rPr>
        <w:t>年</w:t>
      </w:r>
      <w:r>
        <w:rPr>
          <w:rFonts w:ascii="Arial" w:hAnsi="Arial" w:cs="Arial"/>
          <w:color w:val="333333"/>
          <w:sz w:val="19"/>
          <w:szCs w:val="19"/>
          <w:shd w:val="clear" w:color="auto" w:fill="FFFFFF"/>
        </w:rPr>
        <w:t>11</w:t>
      </w:r>
      <w:r>
        <w:rPr>
          <w:rFonts w:ascii="Arial" w:hAnsi="Arial" w:cs="Arial"/>
          <w:color w:val="333333"/>
          <w:sz w:val="19"/>
          <w:szCs w:val="19"/>
          <w:shd w:val="clear" w:color="auto" w:fill="FFFFFF"/>
        </w:rPr>
        <w:t>月，已经有</w:t>
      </w:r>
      <w:r>
        <w:rPr>
          <w:rFonts w:ascii="Arial" w:hAnsi="Arial" w:cs="Arial"/>
          <w:color w:val="333333"/>
          <w:sz w:val="19"/>
          <w:szCs w:val="19"/>
          <w:shd w:val="clear" w:color="auto" w:fill="FFFFFF"/>
        </w:rPr>
        <w:t>11</w:t>
      </w:r>
      <w:r>
        <w:rPr>
          <w:rFonts w:ascii="Arial" w:hAnsi="Arial" w:cs="Arial"/>
          <w:color w:val="333333"/>
          <w:sz w:val="19"/>
          <w:szCs w:val="19"/>
          <w:shd w:val="clear" w:color="auto" w:fill="FFFFFF"/>
        </w:rPr>
        <w:t>个省份超过全国</w:t>
      </w:r>
      <w:r>
        <w:rPr>
          <w:rFonts w:ascii="Arial" w:hAnsi="Arial" w:cs="Arial"/>
          <w:color w:val="333333"/>
          <w:sz w:val="19"/>
          <w:szCs w:val="19"/>
          <w:shd w:val="clear" w:color="auto" w:fill="FFFFFF"/>
        </w:rPr>
        <w:t>66.5%</w:t>
      </w:r>
      <w:r>
        <w:rPr>
          <w:rFonts w:ascii="Arial" w:hAnsi="Arial" w:cs="Arial"/>
          <w:color w:val="333333"/>
          <w:sz w:val="19"/>
          <w:szCs w:val="19"/>
          <w:shd w:val="clear" w:color="auto" w:fill="FFFFFF"/>
        </w:rPr>
        <w:t>的平均水平，更有</w:t>
      </w:r>
      <w:r>
        <w:rPr>
          <w:rFonts w:ascii="Arial" w:hAnsi="Arial" w:cs="Arial"/>
          <w:color w:val="333333"/>
          <w:sz w:val="19"/>
          <w:szCs w:val="19"/>
          <w:shd w:val="clear" w:color="auto" w:fill="FFFFFF"/>
        </w:rPr>
        <w:t>9</w:t>
      </w:r>
      <w:r>
        <w:rPr>
          <w:rFonts w:ascii="Arial" w:hAnsi="Arial" w:cs="Arial"/>
          <w:color w:val="333333"/>
          <w:sz w:val="19"/>
          <w:szCs w:val="19"/>
          <w:shd w:val="clear" w:color="auto" w:fill="FFFFFF"/>
        </w:rPr>
        <w:t>个省份的杠杆率超过</w:t>
      </w:r>
      <w:r>
        <w:rPr>
          <w:rFonts w:ascii="Arial" w:hAnsi="Arial" w:cs="Arial"/>
          <w:color w:val="333333"/>
          <w:sz w:val="19"/>
          <w:szCs w:val="19"/>
          <w:shd w:val="clear" w:color="auto" w:fill="FFFFFF"/>
        </w:rPr>
        <w:t>70%</w:t>
      </w:r>
      <w:r>
        <w:rPr>
          <w:rFonts w:ascii="Arial" w:hAnsi="Arial" w:cs="Arial"/>
          <w:color w:val="333333"/>
          <w:sz w:val="19"/>
          <w:szCs w:val="19"/>
          <w:shd w:val="clear" w:color="auto" w:fill="FFFFFF"/>
        </w:rPr>
        <w:t>。同课题组的前几次报告相比，</w:t>
      </w:r>
      <w:r>
        <w:rPr>
          <w:rFonts w:ascii="Arial" w:hAnsi="Arial" w:cs="Arial"/>
          <w:color w:val="333333"/>
          <w:sz w:val="19"/>
          <w:szCs w:val="19"/>
          <w:shd w:val="clear" w:color="auto" w:fill="FFFFFF"/>
        </w:rPr>
        <w:t>2018</w:t>
      </w:r>
      <w:r>
        <w:rPr>
          <w:rFonts w:ascii="Arial" w:hAnsi="Arial" w:cs="Arial"/>
          <w:color w:val="333333"/>
          <w:sz w:val="19"/>
          <w:szCs w:val="19"/>
          <w:shd w:val="clear" w:color="auto" w:fill="FFFFFF"/>
        </w:rPr>
        <w:t>年虽然北京、新疆、河北以及辽宁等省份和自治区的杠杆率有所降低，但大部分省区市的杠杆率均出现不同程度提高：同上年第三季度相比，江苏的杠杆率提高了</w:t>
      </w:r>
      <w:r>
        <w:rPr>
          <w:rFonts w:ascii="Arial" w:hAnsi="Arial" w:cs="Arial"/>
          <w:color w:val="333333"/>
          <w:sz w:val="19"/>
          <w:szCs w:val="19"/>
          <w:shd w:val="clear" w:color="auto" w:fill="FFFFFF"/>
        </w:rPr>
        <w:t>17%</w:t>
      </w:r>
      <w:r>
        <w:rPr>
          <w:rFonts w:ascii="Arial" w:hAnsi="Arial" w:cs="Arial"/>
          <w:color w:val="333333"/>
          <w:sz w:val="19"/>
          <w:szCs w:val="19"/>
          <w:shd w:val="clear" w:color="auto" w:fill="FFFFFF"/>
        </w:rPr>
        <w:t>，浙江提高了</w:t>
      </w:r>
      <w:r>
        <w:rPr>
          <w:rFonts w:ascii="Arial" w:hAnsi="Arial" w:cs="Arial"/>
          <w:color w:val="333333"/>
          <w:sz w:val="19"/>
          <w:szCs w:val="19"/>
          <w:shd w:val="clear" w:color="auto" w:fill="FFFFFF"/>
        </w:rPr>
        <w:t>13%</w:t>
      </w:r>
      <w:r>
        <w:rPr>
          <w:rFonts w:ascii="Arial" w:hAnsi="Arial" w:cs="Arial"/>
          <w:color w:val="333333"/>
          <w:sz w:val="19"/>
          <w:szCs w:val="19"/>
          <w:shd w:val="clear" w:color="auto" w:fill="FFFFFF"/>
        </w:rPr>
        <w:t>，海南也提高了近</w:t>
      </w:r>
      <w:r>
        <w:rPr>
          <w:rFonts w:ascii="Arial" w:hAnsi="Arial" w:cs="Arial"/>
          <w:color w:val="333333"/>
          <w:sz w:val="19"/>
          <w:szCs w:val="19"/>
          <w:shd w:val="clear" w:color="auto" w:fill="FFFFFF"/>
        </w:rPr>
        <w:t>10%</w:t>
      </w:r>
      <w:r>
        <w:rPr>
          <w:rFonts w:ascii="Arial" w:hAnsi="Arial" w:cs="Arial"/>
          <w:color w:val="333333"/>
          <w:sz w:val="19"/>
          <w:szCs w:val="19"/>
          <w:shd w:val="clear" w:color="auto" w:fill="FFFFFF"/>
        </w:rPr>
        <w:t>；同</w:t>
      </w:r>
      <w:r>
        <w:rPr>
          <w:rFonts w:ascii="Arial" w:hAnsi="Arial" w:cs="Arial"/>
          <w:color w:val="333333"/>
          <w:sz w:val="19"/>
          <w:szCs w:val="19"/>
          <w:shd w:val="clear" w:color="auto" w:fill="FFFFFF"/>
        </w:rPr>
        <w:t>2018</w:t>
      </w:r>
      <w:r>
        <w:rPr>
          <w:rFonts w:ascii="Arial" w:hAnsi="Arial" w:cs="Arial"/>
          <w:color w:val="333333"/>
          <w:sz w:val="19"/>
          <w:szCs w:val="19"/>
          <w:shd w:val="clear" w:color="auto" w:fill="FFFFFF"/>
        </w:rPr>
        <w:t>年第一季度相比，更是有多个省份的杠杆率升幅超过</w:t>
      </w:r>
      <w:r>
        <w:rPr>
          <w:rFonts w:ascii="Arial" w:hAnsi="Arial" w:cs="Arial"/>
          <w:color w:val="333333"/>
          <w:sz w:val="19"/>
          <w:szCs w:val="19"/>
          <w:shd w:val="clear" w:color="auto" w:fill="FFFFFF"/>
        </w:rPr>
        <w:t>5</w:t>
      </w:r>
      <w:r>
        <w:rPr>
          <w:rFonts w:ascii="Arial" w:hAnsi="Arial" w:cs="Arial"/>
          <w:color w:val="333333"/>
          <w:sz w:val="19"/>
          <w:szCs w:val="19"/>
          <w:shd w:val="clear" w:color="auto" w:fill="FFFFFF"/>
        </w:rPr>
        <w:t>个百分点（见图</w:t>
      </w:r>
      <w:r>
        <w:rPr>
          <w:rFonts w:ascii="Arial" w:hAnsi="Arial" w:cs="Arial"/>
          <w:color w:val="333333"/>
          <w:sz w:val="19"/>
          <w:szCs w:val="19"/>
          <w:shd w:val="clear" w:color="auto" w:fill="FFFFFF"/>
        </w:rPr>
        <w:t>2</w:t>
      </w:r>
      <w:r>
        <w:rPr>
          <w:rFonts w:ascii="Arial" w:hAnsi="Arial" w:cs="Arial"/>
          <w:color w:val="333333"/>
          <w:sz w:val="19"/>
          <w:szCs w:val="19"/>
          <w:shd w:val="clear" w:color="auto" w:fill="FFFFFF"/>
        </w:rPr>
        <w:t>）。在家庭债务增速放缓的情况下，家庭杠杆率的</w:t>
      </w:r>
      <w:r>
        <w:rPr>
          <w:rFonts w:ascii="Arial" w:hAnsi="Arial" w:cs="Arial"/>
          <w:color w:val="333333"/>
          <w:sz w:val="19"/>
          <w:szCs w:val="19"/>
          <w:shd w:val="clear" w:color="auto" w:fill="FFFFFF"/>
        </w:rPr>
        <w:t>提高也说明家庭储蓄的增速还要低于债务的增速。在劳动力市场可能面临震荡的情况下，中国家庭储蓄的降低会使得家庭抵御并度过不确定风险期的能力大大减弱。</w:t>
      </w:r>
    </w:p>
    <w:p w:rsidR="007B2D34" w:rsidRDefault="00643490">
      <w:pPr>
        <w:widowControl/>
        <w:shd w:val="clear" w:color="auto" w:fill="FFFFFF"/>
        <w:spacing w:before="360"/>
        <w:jc w:val="left"/>
        <w:rPr>
          <w:rFonts w:ascii="Arial" w:hAnsi="Arial" w:cs="Arial"/>
          <w:color w:val="000000"/>
          <w:sz w:val="14"/>
          <w:szCs w:val="14"/>
        </w:rPr>
      </w:pPr>
      <w:r>
        <w:rPr>
          <w:rFonts w:ascii="Arial" w:eastAsia="宋体" w:hAnsi="Arial" w:cs="Arial"/>
          <w:noProof/>
          <w:color w:val="000000"/>
          <w:kern w:val="0"/>
          <w:sz w:val="14"/>
          <w:szCs w:val="14"/>
          <w:shd w:val="clear" w:color="auto" w:fill="FFFFFF"/>
        </w:rPr>
        <w:lastRenderedPageBreak/>
        <w:drawing>
          <wp:inline distT="0" distB="0" distL="114300" distR="114300">
            <wp:extent cx="4429125" cy="3171825"/>
            <wp:effectExtent l="0" t="0" r="5715" b="1333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10" cstate="print"/>
                    <a:stretch>
                      <a:fillRect/>
                    </a:stretch>
                  </pic:blipFill>
                  <pic:spPr>
                    <a:xfrm>
                      <a:off x="0" y="0"/>
                      <a:ext cx="4429125" cy="3171825"/>
                    </a:xfrm>
                    <a:prstGeom prst="rect">
                      <a:avLst/>
                    </a:prstGeom>
                    <a:noFill/>
                    <a:ln w="9525">
                      <a:noFill/>
                    </a:ln>
                  </pic:spPr>
                </pic:pic>
              </a:graphicData>
            </a:graphic>
          </wp:inline>
        </w:drawing>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b/>
          <w:color w:val="333333"/>
          <w:sz w:val="21"/>
          <w:szCs w:val="21"/>
          <w:shd w:val="clear" w:color="auto" w:fill="FFFFFF"/>
        </w:rPr>
        <w:t>（二）僵尸企业拖累经济增长</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自</w:t>
      </w:r>
      <w:r>
        <w:rPr>
          <w:rFonts w:ascii="Arial" w:hAnsi="Arial" w:cs="Arial"/>
          <w:color w:val="333333"/>
          <w:sz w:val="19"/>
          <w:szCs w:val="19"/>
          <w:shd w:val="clear" w:color="auto" w:fill="FFFFFF"/>
        </w:rPr>
        <w:t>2015</w:t>
      </w:r>
      <w:r>
        <w:rPr>
          <w:rFonts w:ascii="Arial" w:hAnsi="Arial" w:cs="Arial"/>
          <w:color w:val="333333"/>
          <w:sz w:val="19"/>
          <w:szCs w:val="19"/>
          <w:shd w:val="clear" w:color="auto" w:fill="FFFFFF"/>
        </w:rPr>
        <w:t>年第四季度</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供给侧结构性改革</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与</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三去一降一补</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提出以来，我国非金融部门的杠杆率一度稳步下降。然而，</w:t>
      </w:r>
      <w:r>
        <w:rPr>
          <w:rFonts w:ascii="Arial" w:hAnsi="Arial" w:cs="Arial"/>
          <w:color w:val="333333"/>
          <w:sz w:val="19"/>
          <w:szCs w:val="19"/>
          <w:shd w:val="clear" w:color="auto" w:fill="FFFFFF"/>
        </w:rPr>
        <w:t>2018</w:t>
      </w:r>
      <w:r>
        <w:rPr>
          <w:rFonts w:ascii="Arial" w:hAnsi="Arial" w:cs="Arial"/>
          <w:color w:val="333333"/>
          <w:sz w:val="19"/>
          <w:szCs w:val="19"/>
          <w:shd w:val="clear" w:color="auto" w:fill="FFFFFF"/>
        </w:rPr>
        <w:t>年起，杠杆率又出现反弹。至二季度末，非金融部门的总负债率（总债务余额与</w:t>
      </w:r>
      <w:r>
        <w:rPr>
          <w:rFonts w:ascii="Arial" w:hAnsi="Arial" w:cs="Arial"/>
          <w:color w:val="333333"/>
          <w:sz w:val="19"/>
          <w:szCs w:val="19"/>
          <w:shd w:val="clear" w:color="auto" w:fill="FFFFFF"/>
        </w:rPr>
        <w:t>GDP</w:t>
      </w:r>
      <w:r>
        <w:rPr>
          <w:rFonts w:ascii="Arial" w:hAnsi="Arial" w:cs="Arial"/>
          <w:color w:val="333333"/>
          <w:sz w:val="19"/>
          <w:szCs w:val="19"/>
          <w:shd w:val="clear" w:color="auto" w:fill="FFFFFF"/>
        </w:rPr>
        <w:t>比值）为</w:t>
      </w:r>
      <w:r>
        <w:rPr>
          <w:rFonts w:ascii="Arial" w:hAnsi="Arial" w:cs="Arial"/>
          <w:color w:val="333333"/>
          <w:sz w:val="19"/>
          <w:szCs w:val="19"/>
          <w:shd w:val="clear" w:color="auto" w:fill="FFFFFF"/>
        </w:rPr>
        <w:t>205.5%</w:t>
      </w:r>
      <w:r>
        <w:rPr>
          <w:rFonts w:ascii="Arial" w:hAnsi="Arial" w:cs="Arial"/>
          <w:color w:val="333333"/>
          <w:sz w:val="19"/>
          <w:szCs w:val="19"/>
          <w:shd w:val="clear" w:color="auto" w:fill="FFFFFF"/>
        </w:rPr>
        <w:t>，较</w:t>
      </w:r>
      <w:r>
        <w:rPr>
          <w:rFonts w:ascii="Arial" w:hAnsi="Arial" w:cs="Arial"/>
          <w:color w:val="333333"/>
          <w:sz w:val="19"/>
          <w:szCs w:val="19"/>
          <w:shd w:val="clear" w:color="auto" w:fill="FFFFFF"/>
        </w:rPr>
        <w:t>2017</w:t>
      </w:r>
      <w:r>
        <w:rPr>
          <w:rFonts w:ascii="Arial" w:hAnsi="Arial" w:cs="Arial"/>
          <w:color w:val="333333"/>
          <w:sz w:val="19"/>
          <w:szCs w:val="19"/>
          <w:shd w:val="clear" w:color="auto" w:fill="FFFFFF"/>
        </w:rPr>
        <w:t>年第四季度升高了</w:t>
      </w:r>
      <w:r>
        <w:rPr>
          <w:rFonts w:ascii="Arial" w:hAnsi="Arial" w:cs="Arial"/>
          <w:color w:val="333333"/>
          <w:sz w:val="19"/>
          <w:szCs w:val="19"/>
          <w:shd w:val="clear" w:color="auto" w:fill="FFFFFF"/>
        </w:rPr>
        <w:t>10.2</w:t>
      </w:r>
      <w:r>
        <w:rPr>
          <w:rFonts w:ascii="Arial" w:hAnsi="Arial" w:cs="Arial"/>
          <w:color w:val="333333"/>
          <w:sz w:val="19"/>
          <w:szCs w:val="19"/>
          <w:shd w:val="clear" w:color="auto" w:fill="FFFFFF"/>
        </w:rPr>
        <w:t>个百分点；非金融企业部门的债务总额为</w:t>
      </w:r>
      <w:r>
        <w:rPr>
          <w:rFonts w:ascii="Arial" w:hAnsi="Arial" w:cs="Arial"/>
          <w:color w:val="333333"/>
          <w:sz w:val="19"/>
          <w:szCs w:val="19"/>
          <w:shd w:val="clear" w:color="auto" w:fill="FFFFFF"/>
        </w:rPr>
        <w:t>134.3</w:t>
      </w:r>
      <w:proofErr w:type="gramStart"/>
      <w:r>
        <w:rPr>
          <w:rFonts w:ascii="Arial" w:hAnsi="Arial" w:cs="Arial"/>
          <w:color w:val="333333"/>
          <w:sz w:val="19"/>
          <w:szCs w:val="19"/>
          <w:shd w:val="clear" w:color="auto" w:fill="FFFFFF"/>
        </w:rPr>
        <w:t>万亿</w:t>
      </w:r>
      <w:proofErr w:type="gramEnd"/>
      <w:r>
        <w:rPr>
          <w:rFonts w:ascii="Arial" w:hAnsi="Arial" w:cs="Arial"/>
          <w:color w:val="333333"/>
          <w:sz w:val="19"/>
          <w:szCs w:val="19"/>
          <w:shd w:val="clear" w:color="auto" w:fill="FFFFFF"/>
        </w:rPr>
        <w:t>元，总债务率为</w:t>
      </w:r>
      <w:r>
        <w:rPr>
          <w:rFonts w:ascii="Arial" w:hAnsi="Arial" w:cs="Arial"/>
          <w:color w:val="333333"/>
          <w:sz w:val="19"/>
          <w:szCs w:val="19"/>
          <w:shd w:val="clear" w:color="auto" w:fill="FFFFFF"/>
        </w:rPr>
        <w:t>155.1%</w:t>
      </w:r>
      <w:r>
        <w:rPr>
          <w:rFonts w:ascii="Arial" w:hAnsi="Arial" w:cs="Arial"/>
          <w:color w:val="333333"/>
          <w:sz w:val="19"/>
          <w:szCs w:val="19"/>
          <w:shd w:val="clear" w:color="auto" w:fill="FFFFFF"/>
        </w:rPr>
        <w:t>，较</w:t>
      </w:r>
      <w:r>
        <w:rPr>
          <w:rFonts w:ascii="Arial" w:hAnsi="Arial" w:cs="Arial"/>
          <w:color w:val="333333"/>
          <w:sz w:val="19"/>
          <w:szCs w:val="19"/>
          <w:shd w:val="clear" w:color="auto" w:fill="FFFFFF"/>
        </w:rPr>
        <w:t>20</w:t>
      </w:r>
      <w:r>
        <w:rPr>
          <w:rFonts w:ascii="Arial" w:hAnsi="Arial" w:cs="Arial"/>
          <w:color w:val="333333"/>
          <w:sz w:val="19"/>
          <w:szCs w:val="19"/>
          <w:shd w:val="clear" w:color="auto" w:fill="FFFFFF"/>
        </w:rPr>
        <w:t>17</w:t>
      </w:r>
      <w:r>
        <w:rPr>
          <w:rFonts w:ascii="Arial" w:hAnsi="Arial" w:cs="Arial"/>
          <w:color w:val="333333"/>
          <w:sz w:val="19"/>
          <w:szCs w:val="19"/>
          <w:shd w:val="clear" w:color="auto" w:fill="FFFFFF"/>
        </w:rPr>
        <w:t>年第四季度升高了</w:t>
      </w:r>
      <w:r>
        <w:rPr>
          <w:rFonts w:ascii="Arial" w:hAnsi="Arial" w:cs="Arial"/>
          <w:color w:val="333333"/>
          <w:sz w:val="19"/>
          <w:szCs w:val="19"/>
          <w:shd w:val="clear" w:color="auto" w:fill="FFFFFF"/>
        </w:rPr>
        <w:t>8.2</w:t>
      </w:r>
      <w:r>
        <w:rPr>
          <w:rFonts w:ascii="Arial" w:hAnsi="Arial" w:cs="Arial"/>
          <w:color w:val="333333"/>
          <w:sz w:val="19"/>
          <w:szCs w:val="19"/>
          <w:shd w:val="clear" w:color="auto" w:fill="FFFFFF"/>
        </w:rPr>
        <w:t>个百分点。</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课题组针对高输入、低产出的负债企业</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僵尸企业</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进行分析后发现，</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僵尸企业</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占据的资源增加会带来失业率的上涨，进而导致</w:t>
      </w:r>
      <w:r>
        <w:rPr>
          <w:rFonts w:ascii="Arial" w:hAnsi="Arial" w:cs="Arial"/>
          <w:color w:val="333333"/>
          <w:sz w:val="19"/>
          <w:szCs w:val="19"/>
          <w:shd w:val="clear" w:color="auto" w:fill="FFFFFF"/>
        </w:rPr>
        <w:t>GDP</w:t>
      </w:r>
      <w:r>
        <w:rPr>
          <w:rFonts w:ascii="Arial" w:hAnsi="Arial" w:cs="Arial"/>
          <w:color w:val="333333"/>
          <w:sz w:val="19"/>
          <w:szCs w:val="19"/>
          <w:shd w:val="clear" w:color="auto" w:fill="FFFFFF"/>
        </w:rPr>
        <w:t>增速下降。模型回归结果显示，平均而言，</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僵尸企业</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占据的资源每升高</w:t>
      </w:r>
      <w:r>
        <w:rPr>
          <w:rFonts w:ascii="Arial" w:hAnsi="Arial" w:cs="Arial"/>
          <w:color w:val="333333"/>
          <w:sz w:val="19"/>
          <w:szCs w:val="19"/>
          <w:shd w:val="clear" w:color="auto" w:fill="FFFFFF"/>
        </w:rPr>
        <w:t>1</w:t>
      </w:r>
      <w:r>
        <w:rPr>
          <w:rFonts w:ascii="Arial" w:hAnsi="Arial" w:cs="Arial"/>
          <w:color w:val="333333"/>
          <w:sz w:val="19"/>
          <w:szCs w:val="19"/>
          <w:shd w:val="clear" w:color="auto" w:fill="FFFFFF"/>
        </w:rPr>
        <w:t>个百分点，意味着</w:t>
      </w:r>
      <w:r>
        <w:rPr>
          <w:rFonts w:ascii="Arial" w:hAnsi="Arial" w:cs="Arial"/>
          <w:color w:val="333333"/>
          <w:sz w:val="19"/>
          <w:szCs w:val="19"/>
          <w:shd w:val="clear" w:color="auto" w:fill="FFFFFF"/>
        </w:rPr>
        <w:t>GDP</w:t>
      </w:r>
      <w:r>
        <w:rPr>
          <w:rFonts w:ascii="Arial" w:hAnsi="Arial" w:cs="Arial"/>
          <w:color w:val="333333"/>
          <w:sz w:val="19"/>
          <w:szCs w:val="19"/>
          <w:shd w:val="clear" w:color="auto" w:fill="FFFFFF"/>
        </w:rPr>
        <w:t>增速下降</w:t>
      </w:r>
      <w:r>
        <w:rPr>
          <w:rFonts w:ascii="Arial" w:hAnsi="Arial" w:cs="Arial"/>
          <w:color w:val="333333"/>
          <w:sz w:val="19"/>
          <w:szCs w:val="19"/>
          <w:shd w:val="clear" w:color="auto" w:fill="FFFFFF"/>
        </w:rPr>
        <w:t>0.06</w:t>
      </w:r>
      <w:r>
        <w:rPr>
          <w:rFonts w:ascii="Arial" w:hAnsi="Arial" w:cs="Arial"/>
          <w:color w:val="333333"/>
          <w:sz w:val="19"/>
          <w:szCs w:val="19"/>
          <w:shd w:val="clear" w:color="auto" w:fill="FFFFFF"/>
        </w:rPr>
        <w:t>个百分点，按</w:t>
      </w:r>
      <w:r>
        <w:rPr>
          <w:rFonts w:ascii="Arial" w:hAnsi="Arial" w:cs="Arial"/>
          <w:color w:val="333333"/>
          <w:sz w:val="19"/>
          <w:szCs w:val="19"/>
          <w:shd w:val="clear" w:color="auto" w:fill="FFFFFF"/>
        </w:rPr>
        <w:t>2017</w:t>
      </w:r>
      <w:r>
        <w:rPr>
          <w:rFonts w:ascii="Arial" w:hAnsi="Arial" w:cs="Arial"/>
          <w:color w:val="333333"/>
          <w:sz w:val="19"/>
          <w:szCs w:val="19"/>
          <w:shd w:val="clear" w:color="auto" w:fill="FFFFFF"/>
        </w:rPr>
        <w:t>年末我国</w:t>
      </w:r>
      <w:r>
        <w:rPr>
          <w:rFonts w:ascii="Arial" w:hAnsi="Arial" w:cs="Arial"/>
          <w:color w:val="333333"/>
          <w:sz w:val="19"/>
          <w:szCs w:val="19"/>
          <w:shd w:val="clear" w:color="auto" w:fill="FFFFFF"/>
        </w:rPr>
        <w:t>GDP</w:t>
      </w:r>
      <w:r>
        <w:rPr>
          <w:rFonts w:ascii="Arial" w:hAnsi="Arial" w:cs="Arial"/>
          <w:color w:val="333333"/>
          <w:sz w:val="19"/>
          <w:szCs w:val="19"/>
          <w:shd w:val="clear" w:color="auto" w:fill="FFFFFF"/>
        </w:rPr>
        <w:t>总量</w:t>
      </w:r>
      <w:r>
        <w:rPr>
          <w:rFonts w:ascii="Arial" w:hAnsi="Arial" w:cs="Arial"/>
          <w:color w:val="333333"/>
          <w:sz w:val="19"/>
          <w:szCs w:val="19"/>
          <w:shd w:val="clear" w:color="auto" w:fill="FFFFFF"/>
        </w:rPr>
        <w:t>82.7</w:t>
      </w:r>
      <w:proofErr w:type="gramStart"/>
      <w:r>
        <w:rPr>
          <w:rFonts w:ascii="Arial" w:hAnsi="Arial" w:cs="Arial"/>
          <w:color w:val="333333"/>
          <w:sz w:val="19"/>
          <w:szCs w:val="19"/>
          <w:shd w:val="clear" w:color="auto" w:fill="FFFFFF"/>
        </w:rPr>
        <w:t>万亿</w:t>
      </w:r>
      <w:proofErr w:type="gramEnd"/>
      <w:r>
        <w:rPr>
          <w:rFonts w:ascii="Arial" w:hAnsi="Arial" w:cs="Arial"/>
          <w:color w:val="333333"/>
          <w:sz w:val="19"/>
          <w:szCs w:val="19"/>
          <w:shd w:val="clear" w:color="auto" w:fill="FFFFFF"/>
        </w:rPr>
        <w:t>元的规模换算，当年</w:t>
      </w:r>
      <w:r>
        <w:rPr>
          <w:rFonts w:ascii="Arial" w:hAnsi="Arial" w:cs="Arial"/>
          <w:color w:val="333333"/>
          <w:sz w:val="19"/>
          <w:szCs w:val="19"/>
          <w:shd w:val="clear" w:color="auto" w:fill="FFFFFF"/>
        </w:rPr>
        <w:t>GDP</w:t>
      </w:r>
      <w:r>
        <w:rPr>
          <w:rFonts w:ascii="Arial" w:hAnsi="Arial" w:cs="Arial"/>
          <w:color w:val="333333"/>
          <w:sz w:val="19"/>
          <w:szCs w:val="19"/>
          <w:shd w:val="clear" w:color="auto" w:fill="FFFFFF"/>
        </w:rPr>
        <w:t>将下降约</w:t>
      </w:r>
      <w:r>
        <w:rPr>
          <w:rFonts w:ascii="Arial" w:hAnsi="Arial" w:cs="Arial"/>
          <w:color w:val="333333"/>
          <w:sz w:val="19"/>
          <w:szCs w:val="19"/>
          <w:shd w:val="clear" w:color="auto" w:fill="FFFFFF"/>
        </w:rPr>
        <w:t>5</w:t>
      </w:r>
      <w:proofErr w:type="gramStart"/>
      <w:r>
        <w:rPr>
          <w:rFonts w:ascii="Arial" w:hAnsi="Arial" w:cs="Arial"/>
          <w:color w:val="333333"/>
          <w:sz w:val="19"/>
          <w:szCs w:val="19"/>
          <w:shd w:val="clear" w:color="auto" w:fill="FFFFFF"/>
        </w:rPr>
        <w:t>万亿</w:t>
      </w:r>
      <w:proofErr w:type="gramEnd"/>
      <w:r>
        <w:rPr>
          <w:rFonts w:ascii="Arial" w:hAnsi="Arial" w:cs="Arial"/>
          <w:color w:val="333333"/>
          <w:sz w:val="19"/>
          <w:szCs w:val="19"/>
          <w:shd w:val="clear" w:color="auto" w:fill="FFFFFF"/>
        </w:rPr>
        <w:t>元，仅略低于浙江省</w:t>
      </w:r>
      <w:r>
        <w:rPr>
          <w:rFonts w:ascii="Arial" w:hAnsi="Arial" w:cs="Arial"/>
          <w:color w:val="333333"/>
          <w:sz w:val="19"/>
          <w:szCs w:val="19"/>
          <w:shd w:val="clear" w:color="auto" w:fill="FFFFFF"/>
        </w:rPr>
        <w:t>2017</w:t>
      </w:r>
      <w:r>
        <w:rPr>
          <w:rFonts w:ascii="Arial" w:hAnsi="Arial" w:cs="Arial"/>
          <w:color w:val="333333"/>
          <w:sz w:val="19"/>
          <w:szCs w:val="19"/>
          <w:shd w:val="clear" w:color="auto" w:fill="FFFFFF"/>
        </w:rPr>
        <w:t>年的</w:t>
      </w:r>
      <w:r>
        <w:rPr>
          <w:rFonts w:ascii="Arial" w:hAnsi="Arial" w:cs="Arial"/>
          <w:color w:val="333333"/>
          <w:sz w:val="19"/>
          <w:szCs w:val="19"/>
          <w:shd w:val="clear" w:color="auto" w:fill="FFFFFF"/>
        </w:rPr>
        <w:t>GDP</w:t>
      </w:r>
      <w:r>
        <w:rPr>
          <w:rFonts w:ascii="Arial" w:hAnsi="Arial" w:cs="Arial"/>
          <w:color w:val="333333"/>
          <w:sz w:val="19"/>
          <w:szCs w:val="19"/>
          <w:shd w:val="clear" w:color="auto" w:fill="FFFFFF"/>
        </w:rPr>
        <w:t>总量。</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课题组认为，造成这一负面影响的主要原因是</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僵尸企业</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造成的资源错配。分区域来看，在中部和东北等经济欠发达区</w:t>
      </w:r>
      <w:r>
        <w:rPr>
          <w:rFonts w:ascii="Arial" w:hAnsi="Arial" w:cs="Arial"/>
          <w:color w:val="333333"/>
          <w:sz w:val="19"/>
          <w:szCs w:val="19"/>
          <w:shd w:val="clear" w:color="auto" w:fill="FFFFFF"/>
        </w:rPr>
        <w:t>域，</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僵尸企业</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占据资源越多的省份，劳动参与率越低。</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僵尸企业</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还会对区域协调发展造成扭曲：在中部和东北地区，</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僵尸企业</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占据资源更多的省份，人口流出更加严重；在东部地区，</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僵尸企业</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占据资源更多的省份，人口流入数量更少。</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b/>
          <w:color w:val="333333"/>
          <w:sz w:val="21"/>
          <w:szCs w:val="21"/>
          <w:shd w:val="clear" w:color="auto" w:fill="FFFFFF"/>
        </w:rPr>
        <w:t>（三）</w:t>
      </w:r>
      <w:r>
        <w:rPr>
          <w:rFonts w:ascii="Arial" w:hAnsi="Arial" w:cs="Arial"/>
          <w:b/>
          <w:color w:val="333333"/>
          <w:sz w:val="21"/>
          <w:szCs w:val="21"/>
          <w:shd w:val="clear" w:color="auto" w:fill="FFFFFF"/>
        </w:rPr>
        <w:t>“</w:t>
      </w:r>
      <w:r>
        <w:rPr>
          <w:rFonts w:ascii="Arial" w:hAnsi="Arial" w:cs="Arial"/>
          <w:b/>
          <w:color w:val="333333"/>
          <w:sz w:val="21"/>
          <w:szCs w:val="21"/>
          <w:shd w:val="clear" w:color="auto" w:fill="FFFFFF"/>
        </w:rPr>
        <w:t>去杠杆</w:t>
      </w:r>
      <w:r>
        <w:rPr>
          <w:rFonts w:ascii="Arial" w:hAnsi="Arial" w:cs="Arial"/>
          <w:b/>
          <w:color w:val="333333"/>
          <w:sz w:val="21"/>
          <w:szCs w:val="21"/>
          <w:shd w:val="clear" w:color="auto" w:fill="FFFFFF"/>
        </w:rPr>
        <w:t>”</w:t>
      </w:r>
      <w:r>
        <w:rPr>
          <w:rFonts w:ascii="Arial" w:hAnsi="Arial" w:cs="Arial"/>
          <w:b/>
          <w:color w:val="333333"/>
          <w:sz w:val="21"/>
          <w:szCs w:val="21"/>
          <w:shd w:val="clear" w:color="auto" w:fill="FFFFFF"/>
        </w:rPr>
        <w:t>与</w:t>
      </w:r>
      <w:r>
        <w:rPr>
          <w:rFonts w:ascii="Arial" w:hAnsi="Arial" w:cs="Arial"/>
          <w:b/>
          <w:color w:val="333333"/>
          <w:sz w:val="21"/>
          <w:szCs w:val="21"/>
          <w:shd w:val="clear" w:color="auto" w:fill="FFFFFF"/>
        </w:rPr>
        <w:t>“</w:t>
      </w:r>
      <w:r>
        <w:rPr>
          <w:rFonts w:ascii="Arial" w:hAnsi="Arial" w:cs="Arial"/>
          <w:b/>
          <w:color w:val="333333"/>
          <w:sz w:val="21"/>
          <w:szCs w:val="21"/>
          <w:shd w:val="clear" w:color="auto" w:fill="FFFFFF"/>
        </w:rPr>
        <w:t>控风险</w:t>
      </w:r>
      <w:r>
        <w:rPr>
          <w:rFonts w:ascii="Arial" w:hAnsi="Arial" w:cs="Arial"/>
          <w:b/>
          <w:color w:val="333333"/>
          <w:sz w:val="21"/>
          <w:szCs w:val="21"/>
          <w:shd w:val="clear" w:color="auto" w:fill="FFFFFF"/>
        </w:rPr>
        <w:t>”</w:t>
      </w:r>
      <w:r>
        <w:rPr>
          <w:rFonts w:ascii="Arial" w:hAnsi="Arial" w:cs="Arial"/>
          <w:b/>
          <w:color w:val="333333"/>
          <w:sz w:val="21"/>
          <w:szCs w:val="21"/>
          <w:shd w:val="clear" w:color="auto" w:fill="FFFFFF"/>
        </w:rPr>
        <w:t>对金融系统稳定性构成挑战</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自</w:t>
      </w:r>
      <w:r>
        <w:rPr>
          <w:rFonts w:ascii="Arial" w:hAnsi="Arial" w:cs="Arial"/>
          <w:color w:val="333333"/>
          <w:sz w:val="19"/>
          <w:szCs w:val="19"/>
          <w:shd w:val="clear" w:color="auto" w:fill="FFFFFF"/>
        </w:rPr>
        <w:t>2018</w:t>
      </w:r>
      <w:r>
        <w:rPr>
          <w:rFonts w:ascii="Arial" w:hAnsi="Arial" w:cs="Arial"/>
          <w:color w:val="333333"/>
          <w:sz w:val="19"/>
          <w:szCs w:val="19"/>
          <w:shd w:val="clear" w:color="auto" w:fill="FFFFFF"/>
        </w:rPr>
        <w:t>年</w:t>
      </w:r>
      <w:r>
        <w:rPr>
          <w:rFonts w:ascii="Arial" w:hAnsi="Arial" w:cs="Arial"/>
          <w:color w:val="333333"/>
          <w:sz w:val="19"/>
          <w:szCs w:val="19"/>
          <w:shd w:val="clear" w:color="auto" w:fill="FFFFFF"/>
        </w:rPr>
        <w:t>2</w:t>
      </w:r>
      <w:r>
        <w:rPr>
          <w:rFonts w:ascii="Arial" w:hAnsi="Arial" w:cs="Arial"/>
          <w:color w:val="333333"/>
          <w:sz w:val="19"/>
          <w:szCs w:val="19"/>
          <w:shd w:val="clear" w:color="auto" w:fill="FFFFFF"/>
        </w:rPr>
        <w:t>月，</w:t>
      </w:r>
      <w:r>
        <w:rPr>
          <w:rFonts w:ascii="Arial" w:hAnsi="Arial" w:cs="Arial"/>
          <w:color w:val="333333"/>
          <w:sz w:val="19"/>
          <w:szCs w:val="19"/>
          <w:shd w:val="clear" w:color="auto" w:fill="FFFFFF"/>
        </w:rPr>
        <w:t>M1</w:t>
      </w:r>
      <w:r>
        <w:rPr>
          <w:rFonts w:ascii="Arial" w:hAnsi="Arial" w:cs="Arial"/>
          <w:color w:val="333333"/>
          <w:sz w:val="19"/>
          <w:szCs w:val="19"/>
          <w:shd w:val="clear" w:color="auto" w:fill="FFFFFF"/>
        </w:rPr>
        <w:t>与</w:t>
      </w:r>
      <w:r>
        <w:rPr>
          <w:rFonts w:ascii="Arial" w:hAnsi="Arial" w:cs="Arial"/>
          <w:color w:val="333333"/>
          <w:sz w:val="19"/>
          <w:szCs w:val="19"/>
          <w:shd w:val="clear" w:color="auto" w:fill="FFFFFF"/>
        </w:rPr>
        <w:t>M2</w:t>
      </w:r>
      <w:r>
        <w:rPr>
          <w:rFonts w:ascii="Arial" w:hAnsi="Arial" w:cs="Arial"/>
          <w:color w:val="333333"/>
          <w:sz w:val="19"/>
          <w:szCs w:val="19"/>
          <w:shd w:val="clear" w:color="auto" w:fill="FFFFFF"/>
        </w:rPr>
        <w:t>增速之间持续</w:t>
      </w:r>
      <w:r>
        <w:rPr>
          <w:rFonts w:ascii="Arial" w:hAnsi="Arial" w:cs="Arial"/>
          <w:color w:val="333333"/>
          <w:sz w:val="19"/>
          <w:szCs w:val="19"/>
          <w:shd w:val="clear" w:color="auto" w:fill="FFFFFF"/>
        </w:rPr>
        <w:t>28</w:t>
      </w:r>
      <w:r>
        <w:rPr>
          <w:rFonts w:ascii="Arial" w:hAnsi="Arial" w:cs="Arial"/>
          <w:color w:val="333333"/>
          <w:sz w:val="19"/>
          <w:szCs w:val="19"/>
          <w:shd w:val="clear" w:color="auto" w:fill="FFFFFF"/>
        </w:rPr>
        <w:t>个月的剪刀差已完全消失，而且双双走低的</w:t>
      </w:r>
      <w:r>
        <w:rPr>
          <w:rFonts w:ascii="Arial" w:hAnsi="Arial" w:cs="Arial"/>
          <w:color w:val="333333"/>
          <w:sz w:val="19"/>
          <w:szCs w:val="19"/>
          <w:shd w:val="clear" w:color="auto" w:fill="FFFFFF"/>
        </w:rPr>
        <w:t>M2</w:t>
      </w:r>
      <w:r>
        <w:rPr>
          <w:rFonts w:ascii="Arial" w:hAnsi="Arial" w:cs="Arial"/>
          <w:color w:val="333333"/>
          <w:sz w:val="19"/>
          <w:szCs w:val="19"/>
          <w:shd w:val="clear" w:color="auto" w:fill="FFFFFF"/>
        </w:rPr>
        <w:t>与</w:t>
      </w:r>
      <w:r>
        <w:rPr>
          <w:rFonts w:ascii="Arial" w:hAnsi="Arial" w:cs="Arial"/>
          <w:color w:val="333333"/>
          <w:sz w:val="19"/>
          <w:szCs w:val="19"/>
          <w:shd w:val="clear" w:color="auto" w:fill="FFFFFF"/>
        </w:rPr>
        <w:t>M1</w:t>
      </w:r>
      <w:r>
        <w:rPr>
          <w:rFonts w:ascii="Arial" w:hAnsi="Arial" w:cs="Arial"/>
          <w:color w:val="333333"/>
          <w:sz w:val="19"/>
          <w:szCs w:val="19"/>
          <w:shd w:val="clear" w:color="auto" w:fill="FFFFFF"/>
        </w:rPr>
        <w:t>增速之间的差距正持续扩大。</w:t>
      </w:r>
      <w:r>
        <w:rPr>
          <w:rFonts w:ascii="Arial" w:hAnsi="Arial" w:cs="Arial"/>
          <w:color w:val="333333"/>
          <w:sz w:val="19"/>
          <w:szCs w:val="19"/>
          <w:shd w:val="clear" w:color="auto" w:fill="FFFFFF"/>
        </w:rPr>
        <w:t>M2</w:t>
      </w:r>
      <w:r>
        <w:rPr>
          <w:rFonts w:ascii="Arial" w:hAnsi="Arial" w:cs="Arial"/>
          <w:color w:val="333333"/>
          <w:sz w:val="19"/>
          <w:szCs w:val="19"/>
          <w:shd w:val="clear" w:color="auto" w:fill="FFFFFF"/>
        </w:rPr>
        <w:t>增长放缓也影响了社会融资，使得</w:t>
      </w:r>
      <w:r>
        <w:rPr>
          <w:rFonts w:ascii="Arial" w:hAnsi="Arial" w:cs="Arial"/>
          <w:color w:val="333333"/>
          <w:sz w:val="19"/>
          <w:szCs w:val="19"/>
          <w:shd w:val="clear" w:color="auto" w:fill="FFFFFF"/>
        </w:rPr>
        <w:t>2018</w:t>
      </w:r>
      <w:r>
        <w:rPr>
          <w:rFonts w:ascii="Arial" w:hAnsi="Arial" w:cs="Arial"/>
          <w:color w:val="333333"/>
          <w:sz w:val="19"/>
          <w:szCs w:val="19"/>
          <w:shd w:val="clear" w:color="auto" w:fill="FFFFFF"/>
        </w:rPr>
        <w:t>年新增社会融资总量大幅下降。最新口径下，社会融资规模存量为</w:t>
      </w:r>
      <w:r>
        <w:rPr>
          <w:rFonts w:ascii="Arial" w:hAnsi="Arial" w:cs="Arial"/>
          <w:color w:val="333333"/>
          <w:sz w:val="19"/>
          <w:szCs w:val="19"/>
          <w:shd w:val="clear" w:color="auto" w:fill="FFFFFF"/>
        </w:rPr>
        <w:t>199.3</w:t>
      </w:r>
      <w:proofErr w:type="gramStart"/>
      <w:r>
        <w:rPr>
          <w:rFonts w:ascii="Arial" w:hAnsi="Arial" w:cs="Arial"/>
          <w:color w:val="333333"/>
          <w:sz w:val="19"/>
          <w:szCs w:val="19"/>
          <w:shd w:val="clear" w:color="auto" w:fill="FFFFFF"/>
        </w:rPr>
        <w:t>万亿</w:t>
      </w:r>
      <w:proofErr w:type="gramEnd"/>
      <w:r>
        <w:rPr>
          <w:rFonts w:ascii="Arial" w:hAnsi="Arial" w:cs="Arial"/>
          <w:color w:val="333333"/>
          <w:sz w:val="19"/>
          <w:szCs w:val="19"/>
          <w:shd w:val="clear" w:color="auto" w:fill="FFFFFF"/>
        </w:rPr>
        <w:t>元</w:t>
      </w:r>
      <w:r>
        <w:rPr>
          <w:rFonts w:ascii="Arial" w:hAnsi="Arial" w:cs="Arial"/>
          <w:color w:val="333333"/>
          <w:sz w:val="19"/>
          <w:szCs w:val="19"/>
          <w:shd w:val="clear" w:color="auto" w:fill="FFFFFF"/>
        </w:rPr>
        <w:t>，同比增长</w:t>
      </w:r>
      <w:r>
        <w:rPr>
          <w:rFonts w:ascii="Arial" w:hAnsi="Arial" w:cs="Arial"/>
          <w:color w:val="333333"/>
          <w:sz w:val="19"/>
          <w:szCs w:val="19"/>
          <w:shd w:val="clear" w:color="auto" w:fill="FFFFFF"/>
        </w:rPr>
        <w:t>9.9%</w:t>
      </w:r>
      <w:r>
        <w:rPr>
          <w:rFonts w:ascii="Arial" w:hAnsi="Arial" w:cs="Arial"/>
          <w:color w:val="333333"/>
          <w:sz w:val="19"/>
          <w:szCs w:val="19"/>
          <w:shd w:val="clear" w:color="auto" w:fill="FFFFFF"/>
        </w:rPr>
        <w:t>，而可比口径下，社会融资规模存量的增速则下降到了</w:t>
      </w:r>
      <w:r>
        <w:rPr>
          <w:rFonts w:ascii="Arial" w:hAnsi="Arial" w:cs="Arial"/>
          <w:color w:val="333333"/>
          <w:sz w:val="19"/>
          <w:szCs w:val="19"/>
          <w:shd w:val="clear" w:color="auto" w:fill="FFFFFF"/>
        </w:rPr>
        <w:t>8.5%</w:t>
      </w:r>
      <w:r>
        <w:rPr>
          <w:rFonts w:ascii="Arial" w:hAnsi="Arial" w:cs="Arial"/>
          <w:color w:val="333333"/>
          <w:sz w:val="19"/>
          <w:szCs w:val="19"/>
          <w:shd w:val="clear" w:color="auto" w:fill="FFFFFF"/>
        </w:rPr>
        <w:t>，为</w:t>
      </w:r>
      <w:r>
        <w:rPr>
          <w:rFonts w:ascii="Arial" w:hAnsi="Arial" w:cs="Arial"/>
          <w:color w:val="333333"/>
          <w:sz w:val="19"/>
          <w:szCs w:val="19"/>
          <w:shd w:val="clear" w:color="auto" w:fill="FFFFFF"/>
        </w:rPr>
        <w:t>2014</w:t>
      </w:r>
      <w:r>
        <w:rPr>
          <w:rFonts w:ascii="Arial" w:hAnsi="Arial" w:cs="Arial"/>
          <w:color w:val="333333"/>
          <w:sz w:val="19"/>
          <w:szCs w:val="19"/>
          <w:shd w:val="clear" w:color="auto" w:fill="FFFFFF"/>
        </w:rPr>
        <w:t>年以来的最低水平。</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商业银行方面，</w:t>
      </w:r>
      <w:r>
        <w:rPr>
          <w:rFonts w:ascii="Arial" w:hAnsi="Arial" w:cs="Arial"/>
          <w:color w:val="333333"/>
          <w:sz w:val="19"/>
          <w:szCs w:val="19"/>
          <w:shd w:val="clear" w:color="auto" w:fill="FFFFFF"/>
        </w:rPr>
        <w:t>2017</w:t>
      </w:r>
      <w:r>
        <w:rPr>
          <w:rFonts w:ascii="Arial" w:hAnsi="Arial" w:cs="Arial"/>
          <w:color w:val="333333"/>
          <w:sz w:val="19"/>
          <w:szCs w:val="19"/>
          <w:shd w:val="clear" w:color="auto" w:fill="FFFFFF"/>
        </w:rPr>
        <w:t>年以来的金融系统去杠杆和强监管的效应仍在持续，对我国金融系统的稳定运行带来挑战，其间银行不良贷款比例再次上升，债券市场违约事件剧增，股票市场萎靡难振。课题组经分析发现，商业银行受到个体性冲击时，工、农、中、建四大国有银行的风险溢出率已超过</w:t>
      </w:r>
      <w:r>
        <w:rPr>
          <w:rFonts w:ascii="Arial" w:hAnsi="Arial" w:cs="Arial"/>
          <w:color w:val="333333"/>
          <w:sz w:val="19"/>
          <w:szCs w:val="19"/>
          <w:shd w:val="clear" w:color="auto" w:fill="FFFFFF"/>
        </w:rPr>
        <w:t>30%</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lastRenderedPageBreak/>
        <w:t>继续维持在历次评估峰值；受到系统性冲击时，五大国有商业银行抗击系统性风险的能力虽然依然强于其他银行，但优势正在缩小。</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课题组通过匹配</w:t>
      </w:r>
      <w:r>
        <w:rPr>
          <w:rFonts w:ascii="Arial" w:hAnsi="Arial" w:cs="Arial"/>
          <w:color w:val="333333"/>
          <w:sz w:val="19"/>
          <w:szCs w:val="19"/>
          <w:shd w:val="clear" w:color="auto" w:fill="FFFFFF"/>
        </w:rPr>
        <w:t>200</w:t>
      </w:r>
      <w:r>
        <w:rPr>
          <w:rFonts w:ascii="Arial" w:hAnsi="Arial" w:cs="Arial"/>
          <w:color w:val="333333"/>
          <w:sz w:val="19"/>
          <w:szCs w:val="19"/>
          <w:shd w:val="clear" w:color="auto" w:fill="FFFFFF"/>
        </w:rPr>
        <w:t>7—2017</w:t>
      </w:r>
      <w:r>
        <w:rPr>
          <w:rFonts w:ascii="Arial" w:hAnsi="Arial" w:cs="Arial"/>
          <w:color w:val="333333"/>
          <w:sz w:val="19"/>
          <w:szCs w:val="19"/>
          <w:shd w:val="clear" w:color="auto" w:fill="FFFFFF"/>
        </w:rPr>
        <w:t>年</w:t>
      </w:r>
      <w:r>
        <w:rPr>
          <w:rFonts w:ascii="Arial" w:hAnsi="Arial" w:cs="Arial"/>
          <w:color w:val="333333"/>
          <w:sz w:val="19"/>
          <w:szCs w:val="19"/>
          <w:shd w:val="clear" w:color="auto" w:fill="FFFFFF"/>
        </w:rPr>
        <w:t>151</w:t>
      </w:r>
      <w:r>
        <w:rPr>
          <w:rFonts w:ascii="Arial" w:hAnsi="Arial" w:cs="Arial"/>
          <w:color w:val="333333"/>
          <w:sz w:val="19"/>
          <w:szCs w:val="19"/>
          <w:shd w:val="clear" w:color="auto" w:fill="FFFFFF"/>
        </w:rPr>
        <w:t>家中国商业银行年度数据和经济政策不确定性指数数据，分析了经济政策不确定性对银行风险承担的影响和作用渠道。研究结果表明，政策不确定性增加将显著提高银行风险承担水平，并且国有商业银行和股份制商业银行对不确定性的反应比较平淡，城市和农村商业银行的反应较为强烈。课题组还发现，政策不确定性提升将显著降低银行利息收入，进而刺激银行主动承担风险业务，不利于金融系统稳定。</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b/>
          <w:color w:val="333333"/>
          <w:sz w:val="21"/>
          <w:szCs w:val="21"/>
          <w:shd w:val="clear" w:color="auto" w:fill="FFFFFF"/>
        </w:rPr>
        <w:t>（四）汇率</w:t>
      </w:r>
      <w:r>
        <w:rPr>
          <w:rFonts w:ascii="Arial" w:hAnsi="Arial" w:cs="Arial"/>
          <w:b/>
          <w:color w:val="333333"/>
          <w:sz w:val="21"/>
          <w:szCs w:val="21"/>
          <w:shd w:val="clear" w:color="auto" w:fill="FFFFFF"/>
        </w:rPr>
        <w:t>“</w:t>
      </w:r>
      <w:r>
        <w:rPr>
          <w:rFonts w:ascii="Arial" w:hAnsi="Arial" w:cs="Arial"/>
          <w:b/>
          <w:color w:val="333333"/>
          <w:sz w:val="21"/>
          <w:szCs w:val="21"/>
          <w:shd w:val="clear" w:color="auto" w:fill="FFFFFF"/>
        </w:rPr>
        <w:t>保</w:t>
      </w:r>
      <w:r>
        <w:rPr>
          <w:rFonts w:ascii="Arial" w:hAnsi="Arial" w:cs="Arial"/>
          <w:b/>
          <w:color w:val="333333"/>
          <w:sz w:val="21"/>
          <w:szCs w:val="21"/>
          <w:shd w:val="clear" w:color="auto" w:fill="FFFFFF"/>
        </w:rPr>
        <w:t>7”</w:t>
      </w:r>
      <w:r>
        <w:rPr>
          <w:rFonts w:ascii="Arial" w:hAnsi="Arial" w:cs="Arial"/>
          <w:b/>
          <w:color w:val="333333"/>
          <w:sz w:val="21"/>
          <w:szCs w:val="21"/>
          <w:shd w:val="clear" w:color="auto" w:fill="FFFFFF"/>
        </w:rPr>
        <w:t>压力尚未消弭，贸易摩擦前景未定</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2018</w:t>
      </w:r>
      <w:r>
        <w:rPr>
          <w:rFonts w:ascii="Arial" w:hAnsi="Arial" w:cs="Arial"/>
          <w:color w:val="333333"/>
          <w:sz w:val="19"/>
          <w:szCs w:val="19"/>
          <w:shd w:val="clear" w:color="auto" w:fill="FFFFFF"/>
        </w:rPr>
        <w:t>年以来，外汇储备从年初的</w:t>
      </w:r>
      <w:r>
        <w:rPr>
          <w:rFonts w:ascii="Arial" w:hAnsi="Arial" w:cs="Arial"/>
          <w:color w:val="333333"/>
          <w:sz w:val="19"/>
          <w:szCs w:val="19"/>
          <w:shd w:val="clear" w:color="auto" w:fill="FFFFFF"/>
        </w:rPr>
        <w:t>3.16</w:t>
      </w:r>
      <w:proofErr w:type="gramStart"/>
      <w:r>
        <w:rPr>
          <w:rFonts w:ascii="Arial" w:hAnsi="Arial" w:cs="Arial"/>
          <w:color w:val="333333"/>
          <w:sz w:val="19"/>
          <w:szCs w:val="19"/>
          <w:shd w:val="clear" w:color="auto" w:fill="FFFFFF"/>
        </w:rPr>
        <w:t>万亿</w:t>
      </w:r>
      <w:proofErr w:type="gramEnd"/>
      <w:r>
        <w:rPr>
          <w:rFonts w:ascii="Arial" w:hAnsi="Arial" w:cs="Arial"/>
          <w:color w:val="333333"/>
          <w:sz w:val="19"/>
          <w:szCs w:val="19"/>
          <w:shd w:val="clear" w:color="auto" w:fill="FFFFFF"/>
        </w:rPr>
        <w:t>美元降至</w:t>
      </w:r>
      <w:r>
        <w:rPr>
          <w:rFonts w:ascii="Arial" w:hAnsi="Arial" w:cs="Arial"/>
          <w:color w:val="333333"/>
          <w:sz w:val="19"/>
          <w:szCs w:val="19"/>
          <w:shd w:val="clear" w:color="auto" w:fill="FFFFFF"/>
        </w:rPr>
        <w:t>11</w:t>
      </w:r>
      <w:r>
        <w:rPr>
          <w:rFonts w:ascii="Arial" w:hAnsi="Arial" w:cs="Arial"/>
          <w:color w:val="333333"/>
          <w:sz w:val="19"/>
          <w:szCs w:val="19"/>
          <w:shd w:val="clear" w:color="auto" w:fill="FFFFFF"/>
        </w:rPr>
        <w:t>月份的</w:t>
      </w:r>
      <w:r>
        <w:rPr>
          <w:rFonts w:ascii="Arial" w:hAnsi="Arial" w:cs="Arial"/>
          <w:color w:val="333333"/>
          <w:sz w:val="19"/>
          <w:szCs w:val="19"/>
          <w:shd w:val="clear" w:color="auto" w:fill="FFFFFF"/>
        </w:rPr>
        <w:t>3.06</w:t>
      </w:r>
      <w:proofErr w:type="gramStart"/>
      <w:r>
        <w:rPr>
          <w:rFonts w:ascii="Arial" w:hAnsi="Arial" w:cs="Arial"/>
          <w:color w:val="333333"/>
          <w:sz w:val="19"/>
          <w:szCs w:val="19"/>
          <w:shd w:val="clear" w:color="auto" w:fill="FFFFFF"/>
        </w:rPr>
        <w:t>万亿</w:t>
      </w:r>
      <w:proofErr w:type="gramEnd"/>
      <w:r>
        <w:rPr>
          <w:rFonts w:ascii="Arial" w:hAnsi="Arial" w:cs="Arial"/>
          <w:color w:val="333333"/>
          <w:sz w:val="19"/>
          <w:szCs w:val="19"/>
          <w:shd w:val="clear" w:color="auto" w:fill="FFFFFF"/>
        </w:rPr>
        <w:t>美元，缩减规模达千亿美元。人民币汇率中间价从</w:t>
      </w:r>
      <w:r>
        <w:rPr>
          <w:rFonts w:ascii="Arial" w:hAnsi="Arial" w:cs="Arial"/>
          <w:color w:val="333333"/>
          <w:sz w:val="19"/>
          <w:szCs w:val="19"/>
          <w:shd w:val="clear" w:color="auto" w:fill="FFFFFF"/>
        </w:rPr>
        <w:t>4</w:t>
      </w:r>
      <w:r>
        <w:rPr>
          <w:rFonts w:ascii="Arial" w:hAnsi="Arial" w:cs="Arial"/>
          <w:color w:val="333333"/>
          <w:sz w:val="19"/>
          <w:szCs w:val="19"/>
          <w:shd w:val="clear" w:color="auto" w:fill="FFFFFF"/>
        </w:rPr>
        <w:t>月初的</w:t>
      </w:r>
      <w:r>
        <w:rPr>
          <w:rFonts w:ascii="Arial" w:hAnsi="Arial" w:cs="Arial"/>
          <w:color w:val="333333"/>
          <w:sz w:val="19"/>
          <w:szCs w:val="19"/>
          <w:shd w:val="clear" w:color="auto" w:fill="FFFFFF"/>
        </w:rPr>
        <w:t>6.28</w:t>
      </w:r>
      <w:r>
        <w:rPr>
          <w:rFonts w:ascii="Arial" w:hAnsi="Arial" w:cs="Arial"/>
          <w:color w:val="333333"/>
          <w:sz w:val="19"/>
          <w:szCs w:val="19"/>
          <w:shd w:val="clear" w:color="auto" w:fill="FFFFFF"/>
        </w:rPr>
        <w:t>贬至</w:t>
      </w:r>
      <w:r>
        <w:rPr>
          <w:rFonts w:ascii="Arial" w:hAnsi="Arial" w:cs="Arial"/>
          <w:color w:val="333333"/>
          <w:sz w:val="19"/>
          <w:szCs w:val="19"/>
          <w:shd w:val="clear" w:color="auto" w:fill="FFFFFF"/>
        </w:rPr>
        <w:t>11</w:t>
      </w:r>
      <w:r>
        <w:rPr>
          <w:rFonts w:ascii="Arial" w:hAnsi="Arial" w:cs="Arial"/>
          <w:color w:val="333333"/>
          <w:sz w:val="19"/>
          <w:szCs w:val="19"/>
          <w:shd w:val="clear" w:color="auto" w:fill="FFFFFF"/>
        </w:rPr>
        <w:t>月底</w:t>
      </w:r>
      <w:r>
        <w:rPr>
          <w:rFonts w:ascii="Arial" w:hAnsi="Arial" w:cs="Arial"/>
          <w:color w:val="333333"/>
          <w:sz w:val="19"/>
          <w:szCs w:val="19"/>
          <w:shd w:val="clear" w:color="auto" w:fill="FFFFFF"/>
        </w:rPr>
        <w:t>6.95</w:t>
      </w:r>
      <w:r>
        <w:rPr>
          <w:rFonts w:ascii="Arial" w:hAnsi="Arial" w:cs="Arial"/>
          <w:color w:val="333333"/>
          <w:sz w:val="19"/>
          <w:szCs w:val="19"/>
          <w:shd w:val="clear" w:color="auto" w:fill="FFFFFF"/>
        </w:rPr>
        <w:t>，连续</w:t>
      </w:r>
      <w:r>
        <w:rPr>
          <w:rFonts w:ascii="Arial" w:hAnsi="Arial" w:cs="Arial"/>
          <w:color w:val="333333"/>
          <w:sz w:val="19"/>
          <w:szCs w:val="19"/>
          <w:shd w:val="clear" w:color="auto" w:fill="FFFFFF"/>
        </w:rPr>
        <w:t>7</w:t>
      </w:r>
      <w:r>
        <w:rPr>
          <w:rFonts w:ascii="Arial" w:hAnsi="Arial" w:cs="Arial"/>
          <w:color w:val="333333"/>
          <w:sz w:val="19"/>
          <w:szCs w:val="19"/>
          <w:shd w:val="clear" w:color="auto" w:fill="FFFFFF"/>
        </w:rPr>
        <w:t>个月下降，其变动幅度和波动率均为</w:t>
      </w:r>
      <w:proofErr w:type="gramStart"/>
      <w:r>
        <w:rPr>
          <w:rFonts w:ascii="Arial" w:hAnsi="Arial" w:cs="Arial"/>
          <w:color w:val="333333"/>
          <w:sz w:val="19"/>
          <w:szCs w:val="19"/>
          <w:shd w:val="clear" w:color="auto" w:fill="FFFFFF"/>
        </w:rPr>
        <w:t>“8·11”</w:t>
      </w:r>
      <w:r>
        <w:rPr>
          <w:rFonts w:ascii="Arial" w:hAnsi="Arial" w:cs="Arial"/>
          <w:color w:val="333333"/>
          <w:sz w:val="19"/>
          <w:szCs w:val="19"/>
          <w:shd w:val="clear" w:color="auto" w:fill="FFFFFF"/>
        </w:rPr>
        <w:t>汇改之后</w:t>
      </w:r>
      <w:proofErr w:type="gramEnd"/>
      <w:r>
        <w:rPr>
          <w:rFonts w:ascii="Arial" w:hAnsi="Arial" w:cs="Arial"/>
          <w:color w:val="333333"/>
          <w:sz w:val="19"/>
          <w:szCs w:val="19"/>
          <w:shd w:val="clear" w:color="auto" w:fill="FFFFFF"/>
        </w:rPr>
        <w:t>最大的一年。然而，随着</w:t>
      </w:r>
      <w:r>
        <w:rPr>
          <w:rFonts w:ascii="Arial" w:hAnsi="Arial" w:cs="Arial"/>
          <w:color w:val="333333"/>
          <w:sz w:val="19"/>
          <w:szCs w:val="19"/>
          <w:shd w:val="clear" w:color="auto" w:fill="FFFFFF"/>
        </w:rPr>
        <w:t>G20</w:t>
      </w:r>
      <w:r>
        <w:rPr>
          <w:rFonts w:ascii="Arial" w:hAnsi="Arial" w:cs="Arial"/>
          <w:color w:val="333333"/>
          <w:sz w:val="19"/>
          <w:szCs w:val="19"/>
          <w:shd w:val="clear" w:color="auto" w:fill="FFFFFF"/>
        </w:rPr>
        <w:t>峰会上中美贸易摩擦的缓和，人民币汇率反弹至</w:t>
      </w:r>
      <w:r>
        <w:rPr>
          <w:rFonts w:ascii="Arial" w:hAnsi="Arial" w:cs="Arial"/>
          <w:color w:val="333333"/>
          <w:sz w:val="19"/>
          <w:szCs w:val="19"/>
          <w:shd w:val="clear" w:color="auto" w:fill="FFFFFF"/>
        </w:rPr>
        <w:t>6.9</w:t>
      </w:r>
      <w:r>
        <w:rPr>
          <w:rFonts w:ascii="Arial" w:hAnsi="Arial" w:cs="Arial"/>
          <w:color w:val="333333"/>
          <w:sz w:val="19"/>
          <w:szCs w:val="19"/>
          <w:shd w:val="clear" w:color="auto" w:fill="FFFFFF"/>
        </w:rPr>
        <w:t>以内并维持至年末。另一方面，</w:t>
      </w:r>
      <w:r>
        <w:rPr>
          <w:rFonts w:ascii="Arial" w:hAnsi="Arial" w:cs="Arial"/>
          <w:color w:val="333333"/>
          <w:sz w:val="19"/>
          <w:szCs w:val="19"/>
          <w:shd w:val="clear" w:color="auto" w:fill="FFFFFF"/>
        </w:rPr>
        <w:t>2018</w:t>
      </w:r>
      <w:r>
        <w:rPr>
          <w:rFonts w:ascii="Arial" w:hAnsi="Arial" w:cs="Arial"/>
          <w:color w:val="333333"/>
          <w:sz w:val="19"/>
          <w:szCs w:val="19"/>
          <w:shd w:val="clear" w:color="auto" w:fill="FFFFFF"/>
        </w:rPr>
        <w:t>年</w:t>
      </w:r>
      <w:r>
        <w:rPr>
          <w:rFonts w:ascii="Arial" w:hAnsi="Arial" w:cs="Arial"/>
          <w:color w:val="333333"/>
          <w:sz w:val="19"/>
          <w:szCs w:val="19"/>
          <w:shd w:val="clear" w:color="auto" w:fill="FFFFFF"/>
        </w:rPr>
        <w:t>2</w:t>
      </w:r>
      <w:r>
        <w:rPr>
          <w:rFonts w:ascii="Arial" w:hAnsi="Arial" w:cs="Arial"/>
          <w:color w:val="333333"/>
          <w:sz w:val="19"/>
          <w:szCs w:val="19"/>
          <w:shd w:val="clear" w:color="auto" w:fill="FFFFFF"/>
        </w:rPr>
        <w:t>月，随着我国跨境资本流动趋于平衡，中国前期采取的宏观审慎政策全部恢复中性，透露出央行希望人民币</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美元汇率和跨境资本流动双向波动。然而，随着美元指数</w:t>
      </w:r>
      <w:r>
        <w:rPr>
          <w:rFonts w:ascii="Arial" w:hAnsi="Arial" w:cs="Arial"/>
          <w:color w:val="333333"/>
          <w:sz w:val="19"/>
          <w:szCs w:val="19"/>
          <w:shd w:val="clear" w:color="auto" w:fill="FFFFFF"/>
        </w:rPr>
        <w:t>4</w:t>
      </w:r>
      <w:r>
        <w:rPr>
          <w:rFonts w:ascii="Arial" w:hAnsi="Arial" w:cs="Arial"/>
          <w:color w:val="333333"/>
          <w:sz w:val="19"/>
          <w:szCs w:val="19"/>
          <w:shd w:val="clear" w:color="auto" w:fill="FFFFFF"/>
        </w:rPr>
        <w:t>月中旬后重新走强，人民币再度趋向贬</w:t>
      </w:r>
      <w:r>
        <w:rPr>
          <w:rFonts w:ascii="Arial" w:hAnsi="Arial" w:cs="Arial"/>
          <w:color w:val="333333"/>
          <w:sz w:val="19"/>
          <w:szCs w:val="19"/>
          <w:shd w:val="clear" w:color="auto" w:fill="FFFFFF"/>
        </w:rPr>
        <w:t>值，加大了资本外流的风险。为了缓解人民币贬值压力，中国人民银行通过舆论引导、调整远期售汇外汇风险准备金率、重启逆周期因子、在香港发行央行票据等手段，适度对冲贬值方向的顺周期情绪，调节离岸人民币市场流动性，稳定市场预期，以保持人民币汇率在合理均衡水平上的基本稳定。</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课题组判断，</w:t>
      </w:r>
      <w:r>
        <w:rPr>
          <w:rFonts w:ascii="Arial" w:hAnsi="Arial" w:cs="Arial"/>
          <w:color w:val="333333"/>
          <w:sz w:val="19"/>
          <w:szCs w:val="19"/>
          <w:shd w:val="clear" w:color="auto" w:fill="FFFFFF"/>
        </w:rPr>
        <w:t>2019</w:t>
      </w:r>
      <w:r>
        <w:rPr>
          <w:rFonts w:ascii="Arial" w:hAnsi="Arial" w:cs="Arial"/>
          <w:color w:val="333333"/>
          <w:sz w:val="19"/>
          <w:szCs w:val="19"/>
          <w:shd w:val="clear" w:color="auto" w:fill="FFFFFF"/>
        </w:rPr>
        <w:t>年中美两国在贸易、投资、科技与知识产权方面的分歧与争端仍然存在，贸易摩擦大概率会持续，且重点将向上述方面分散。外部环境的诸多变化也可能影响贸易摩擦的走向。首先，全球经济复苏停滞，增速预期下调，外部需求降低：发达经济体中，美、欧、</w:t>
      </w:r>
      <w:r>
        <w:rPr>
          <w:rFonts w:ascii="Arial" w:hAnsi="Arial" w:cs="Arial"/>
          <w:color w:val="333333"/>
          <w:sz w:val="19"/>
          <w:szCs w:val="19"/>
          <w:shd w:val="clear" w:color="auto" w:fill="FFFFFF"/>
        </w:rPr>
        <w:t>日、韩等国家或地区</w:t>
      </w:r>
      <w:r>
        <w:rPr>
          <w:rFonts w:ascii="Arial" w:hAnsi="Arial" w:cs="Arial"/>
          <w:color w:val="333333"/>
          <w:sz w:val="19"/>
          <w:szCs w:val="19"/>
          <w:shd w:val="clear" w:color="auto" w:fill="FFFFFF"/>
        </w:rPr>
        <w:t>2018</w:t>
      </w:r>
      <w:r>
        <w:rPr>
          <w:rFonts w:ascii="Arial" w:hAnsi="Arial" w:cs="Arial"/>
          <w:color w:val="333333"/>
          <w:sz w:val="19"/>
          <w:szCs w:val="19"/>
          <w:shd w:val="clear" w:color="auto" w:fill="FFFFFF"/>
        </w:rPr>
        <w:t>年经济表现不尽如人意；新兴经济体受中美贸易摩擦影响，整体增速相比</w:t>
      </w:r>
      <w:r>
        <w:rPr>
          <w:rFonts w:ascii="Arial" w:hAnsi="Arial" w:cs="Arial"/>
          <w:color w:val="333333"/>
          <w:sz w:val="19"/>
          <w:szCs w:val="19"/>
          <w:shd w:val="clear" w:color="auto" w:fill="FFFFFF"/>
        </w:rPr>
        <w:t>2017</w:t>
      </w:r>
      <w:r>
        <w:rPr>
          <w:rFonts w:ascii="Arial" w:hAnsi="Arial" w:cs="Arial"/>
          <w:color w:val="333333"/>
          <w:sz w:val="19"/>
          <w:szCs w:val="19"/>
          <w:shd w:val="clear" w:color="auto" w:fill="FFFFFF"/>
        </w:rPr>
        <w:t>年同期有所下降。其次，课题组利用收益率曲线斜率和剩余债券溢价等金融指标测得美国未来</w:t>
      </w:r>
      <w:r>
        <w:rPr>
          <w:rFonts w:ascii="Arial" w:hAnsi="Arial" w:cs="Arial"/>
          <w:color w:val="333333"/>
          <w:sz w:val="19"/>
          <w:szCs w:val="19"/>
          <w:shd w:val="clear" w:color="auto" w:fill="FFFFFF"/>
        </w:rPr>
        <w:t>12</w:t>
      </w:r>
      <w:r>
        <w:rPr>
          <w:rFonts w:ascii="Arial" w:hAnsi="Arial" w:cs="Arial"/>
          <w:color w:val="333333"/>
          <w:sz w:val="19"/>
          <w:szCs w:val="19"/>
          <w:shd w:val="clear" w:color="auto" w:fill="FFFFFF"/>
        </w:rPr>
        <w:t>个月发生衰退的可能性在</w:t>
      </w:r>
      <w:r>
        <w:rPr>
          <w:rFonts w:ascii="Arial" w:hAnsi="Arial" w:cs="Arial"/>
          <w:color w:val="333333"/>
          <w:sz w:val="19"/>
          <w:szCs w:val="19"/>
          <w:shd w:val="clear" w:color="auto" w:fill="FFFFFF"/>
        </w:rPr>
        <w:t>0.2</w:t>
      </w:r>
      <w:r>
        <w:rPr>
          <w:rFonts w:ascii="Arial" w:hAnsi="Arial" w:cs="Arial"/>
          <w:color w:val="333333"/>
          <w:sz w:val="19"/>
          <w:szCs w:val="19"/>
          <w:shd w:val="clear" w:color="auto" w:fill="FFFFFF"/>
        </w:rPr>
        <w:t>和</w:t>
      </w:r>
      <w:r>
        <w:rPr>
          <w:rFonts w:ascii="Arial" w:hAnsi="Arial" w:cs="Arial"/>
          <w:color w:val="333333"/>
          <w:sz w:val="19"/>
          <w:szCs w:val="19"/>
          <w:shd w:val="clear" w:color="auto" w:fill="FFFFFF"/>
        </w:rPr>
        <w:t>0.4</w:t>
      </w:r>
      <w:r>
        <w:rPr>
          <w:rFonts w:ascii="Arial" w:hAnsi="Arial" w:cs="Arial"/>
          <w:color w:val="333333"/>
          <w:sz w:val="19"/>
          <w:szCs w:val="19"/>
          <w:shd w:val="clear" w:color="auto" w:fill="FFFFFF"/>
        </w:rPr>
        <w:t xml:space="preserve">之间。衰退一旦实际发生，一方面将通过影响外需拖累我国进出口，进一步恶化可能出现的贸易逆差；另一方面将通过影响美元指数影响汇率，或对人民币的贬值形成对冲。最后，部分劳动密集型制造业向东南亚地区转移，致使局部地区出口也面临萎缩，危及企业生存和当地的就业稳定。　</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b/>
          <w:color w:val="333333"/>
          <w:sz w:val="21"/>
          <w:szCs w:val="21"/>
          <w:shd w:val="clear" w:color="auto" w:fill="FFFFFF"/>
        </w:rPr>
        <w:t>以中长期结构性改革推动经济高质量发</w:t>
      </w:r>
      <w:r>
        <w:rPr>
          <w:rFonts w:ascii="Arial" w:hAnsi="Arial" w:cs="Arial"/>
          <w:b/>
          <w:color w:val="333333"/>
          <w:sz w:val="21"/>
          <w:szCs w:val="21"/>
          <w:shd w:val="clear" w:color="auto" w:fill="FFFFFF"/>
        </w:rPr>
        <w:t>展</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高质量发展是应对内外部复杂局面的</w:t>
      </w:r>
      <w:proofErr w:type="gramStart"/>
      <w:r>
        <w:rPr>
          <w:rFonts w:ascii="Arial" w:hAnsi="Arial" w:cs="Arial"/>
          <w:color w:val="333333"/>
          <w:sz w:val="19"/>
          <w:szCs w:val="19"/>
          <w:shd w:val="clear" w:color="auto" w:fill="FFFFFF"/>
        </w:rPr>
        <w:t>一</w:t>
      </w:r>
      <w:proofErr w:type="gramEnd"/>
      <w:r>
        <w:rPr>
          <w:rFonts w:ascii="Arial" w:hAnsi="Arial" w:cs="Arial"/>
          <w:color w:val="333333"/>
          <w:sz w:val="19"/>
          <w:szCs w:val="19"/>
          <w:shd w:val="clear" w:color="auto" w:fill="FFFFFF"/>
        </w:rPr>
        <w:t>把总钥匙，要从解决新时代社会经济主要矛盾和经济发展中所面临的深层次问题的角度出发，来正确认识和准确把握高质量发展的内在要求。</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立足中国自身来看，民营经济是推动高质量发展的重要主体，无论是实现效率驱动、创新驱动发展，满足人民美好生活需要，还是构建现代化经济体系，都离不开一个共同的前提就是民营经济的大发展。在改革开放以来中国经济的大发展中，民营经济对中国经济的贡献无论在产值还是就业方面都是巨大的，对改善人民生活水平起到了重要作用。同时，一个现代化的市场经济体系应该是所有制中</w:t>
      </w:r>
      <w:r>
        <w:rPr>
          <w:rFonts w:ascii="Arial" w:hAnsi="Arial" w:cs="Arial"/>
          <w:color w:val="333333"/>
          <w:sz w:val="19"/>
          <w:szCs w:val="19"/>
          <w:shd w:val="clear" w:color="auto" w:fill="FFFFFF"/>
        </w:rPr>
        <w:t>立、竞争中性的，在这一体系之下的技术创新由于风险大的原因，也基本要靠民企，因此应充分发挥好民企在中国从要素驱动向效率驱动乃至创新驱动转型中的重要作用，让市场在资源配置中发挥决定性作用，更好发挥政府的作用。</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当前，除了国际贸易摩擦所带来的外部不确定性和风险因素之外，我国民营经济发展也正面临一些内部政策瓶颈、体制障碍，处于负重前行状态，导致中国经济整体的内在活力严重不足，民间投资增速</w:t>
      </w:r>
      <w:r>
        <w:rPr>
          <w:rFonts w:ascii="Arial" w:hAnsi="Arial" w:cs="Arial"/>
          <w:color w:val="333333"/>
          <w:sz w:val="19"/>
          <w:szCs w:val="19"/>
          <w:shd w:val="clear" w:color="auto" w:fill="FFFFFF"/>
        </w:rPr>
        <w:lastRenderedPageBreak/>
        <w:t>从</w:t>
      </w:r>
      <w:r>
        <w:rPr>
          <w:rFonts w:ascii="Arial" w:hAnsi="Arial" w:cs="Arial"/>
          <w:color w:val="333333"/>
          <w:sz w:val="19"/>
          <w:szCs w:val="19"/>
          <w:shd w:val="clear" w:color="auto" w:fill="FFFFFF"/>
        </w:rPr>
        <w:t>2012</w:t>
      </w:r>
      <w:r>
        <w:rPr>
          <w:rFonts w:ascii="Arial" w:hAnsi="Arial" w:cs="Arial"/>
          <w:color w:val="333333"/>
          <w:sz w:val="19"/>
          <w:szCs w:val="19"/>
          <w:shd w:val="clear" w:color="auto" w:fill="FFFFFF"/>
        </w:rPr>
        <w:t>年初的</w:t>
      </w:r>
      <w:r>
        <w:rPr>
          <w:rFonts w:ascii="Arial" w:hAnsi="Arial" w:cs="Arial"/>
          <w:color w:val="333333"/>
          <w:sz w:val="19"/>
          <w:szCs w:val="19"/>
          <w:shd w:val="clear" w:color="auto" w:fill="FFFFFF"/>
        </w:rPr>
        <w:t>30.9%</w:t>
      </w:r>
      <w:r>
        <w:rPr>
          <w:rFonts w:ascii="Arial" w:hAnsi="Arial" w:cs="Arial"/>
          <w:color w:val="333333"/>
          <w:sz w:val="19"/>
          <w:szCs w:val="19"/>
          <w:shd w:val="clear" w:color="auto" w:fill="FFFFFF"/>
        </w:rPr>
        <w:t>历史高点降至目前的</w:t>
      </w:r>
      <w:proofErr w:type="gramStart"/>
      <w:r>
        <w:rPr>
          <w:rFonts w:ascii="Arial" w:hAnsi="Arial" w:cs="Arial"/>
          <w:color w:val="333333"/>
          <w:sz w:val="19"/>
          <w:szCs w:val="19"/>
          <w:shd w:val="clear" w:color="auto" w:fill="FFFFFF"/>
        </w:rPr>
        <w:t>个</w:t>
      </w:r>
      <w:proofErr w:type="gramEnd"/>
      <w:r>
        <w:rPr>
          <w:rFonts w:ascii="Arial" w:hAnsi="Arial" w:cs="Arial"/>
          <w:color w:val="333333"/>
          <w:sz w:val="19"/>
          <w:szCs w:val="19"/>
          <w:shd w:val="clear" w:color="auto" w:fill="FFFFFF"/>
        </w:rPr>
        <w:t>位数增幅。对于这一发展困局不能仅停留在要改的层面，还要明确怎么改、谁去改，这需要短期</w:t>
      </w:r>
      <w:r>
        <w:rPr>
          <w:rFonts w:ascii="Arial" w:hAnsi="Arial" w:cs="Arial"/>
          <w:color w:val="333333"/>
          <w:sz w:val="19"/>
          <w:szCs w:val="19"/>
          <w:shd w:val="clear" w:color="auto" w:fill="FFFFFF"/>
        </w:rPr>
        <w:t>货币、财政政策调整与中长期结构性体制改革双管齐下加以突破，尤其是需要对金融体制、财政体制以及地方政府官员考核晋升体系进行结构性改革，促进金融部门和实体经济良性循环，提高金融运行和信贷配置效率，打破民企融资难和地方债务高企关联困境，促进中央政府与地方政府激励相容，营造为促进民营经济发展而竞争的良性局面。只有这样，市场化改革和经济全球化开放才能真正走向深入。</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b/>
          <w:color w:val="333333"/>
          <w:sz w:val="21"/>
          <w:szCs w:val="21"/>
          <w:shd w:val="clear" w:color="auto" w:fill="FFFFFF"/>
        </w:rPr>
        <w:t>第一，加强政策协调，促进财政政策与货币政策有效配合，解决民营企业税费负担重和融资贵的问题。</w:t>
      </w:r>
      <w:r>
        <w:rPr>
          <w:rFonts w:ascii="Arial" w:hAnsi="Arial" w:cs="Arial"/>
          <w:color w:val="333333"/>
          <w:sz w:val="19"/>
          <w:szCs w:val="19"/>
          <w:shd w:val="clear" w:color="auto" w:fill="FFFFFF"/>
        </w:rPr>
        <w:t>首先，积极的财政政策要真正积极起来，但是不能依靠类似</w:t>
      </w:r>
      <w:r>
        <w:rPr>
          <w:rFonts w:ascii="Arial" w:hAnsi="Arial" w:cs="Arial"/>
          <w:color w:val="333333"/>
          <w:sz w:val="19"/>
          <w:szCs w:val="19"/>
          <w:shd w:val="clear" w:color="auto" w:fill="FFFFFF"/>
        </w:rPr>
        <w:t>2008</w:t>
      </w:r>
      <w:r>
        <w:rPr>
          <w:rFonts w:ascii="Arial" w:hAnsi="Arial" w:cs="Arial"/>
          <w:color w:val="333333"/>
          <w:sz w:val="19"/>
          <w:szCs w:val="19"/>
          <w:shd w:val="clear" w:color="auto" w:fill="FFFFFF"/>
        </w:rPr>
        <w:t>年那</w:t>
      </w:r>
      <w:r>
        <w:rPr>
          <w:rFonts w:ascii="Arial" w:hAnsi="Arial" w:cs="Arial"/>
          <w:color w:val="333333"/>
          <w:sz w:val="19"/>
          <w:szCs w:val="19"/>
          <w:shd w:val="clear" w:color="auto" w:fill="FFFFFF"/>
        </w:rPr>
        <w:t>样的大规模经济刺激，那样的财政支出规模不可持续，也非常低效，会带来大量的过剩产能和高企债务。这样，财政支出的重心应从基础设施投资逐渐转向引导支持创新和人力资本提升，转向弥补社会政策和民生的短板，为下一步经济增长储备强劲动能。并且，应注重以收入端的实质性减税代替扩大政府支出的传统手段，让企业尤其是民营中小企业以及广大居民切实减轻税收负担，激发微观经济主体的活力，刺激投资和消费需求的可持续增长，构筑强大的国内市场。</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与此同时，货币政策要松紧适度，</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去杠杆</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应逐步转向</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稳杠杆</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，同时，中国的货币供应量增速与</w:t>
      </w:r>
      <w:r>
        <w:rPr>
          <w:rFonts w:ascii="Arial" w:hAnsi="Arial" w:cs="Arial"/>
          <w:color w:val="333333"/>
          <w:sz w:val="19"/>
          <w:szCs w:val="19"/>
          <w:shd w:val="clear" w:color="auto" w:fill="FFFFFF"/>
        </w:rPr>
        <w:t>GDP</w:t>
      </w:r>
      <w:proofErr w:type="gramStart"/>
      <w:r>
        <w:rPr>
          <w:rFonts w:ascii="Arial" w:hAnsi="Arial" w:cs="Arial"/>
          <w:color w:val="333333"/>
          <w:sz w:val="19"/>
          <w:szCs w:val="19"/>
          <w:shd w:val="clear" w:color="auto" w:fill="FFFFFF"/>
        </w:rPr>
        <w:t>增速正</w:t>
      </w:r>
      <w:proofErr w:type="gramEnd"/>
      <w:r>
        <w:rPr>
          <w:rFonts w:ascii="Arial" w:hAnsi="Arial" w:cs="Arial"/>
          <w:color w:val="333333"/>
          <w:sz w:val="19"/>
          <w:szCs w:val="19"/>
          <w:shd w:val="clear" w:color="auto" w:fill="FFFFFF"/>
        </w:rPr>
        <w:t>逐渐脱节，利率对经济增长的影响则显著上升。当前防风险的结构性任务，也与以前防通胀的数量性目标有所不同。因此，货币政策框架应该随之从数量型的调控货币供给转向价格型的利率调整，实行面向中小民营企业的定向降息或全面降息，降低实体经济融资成本。欧美国家在这一轮经济复苏过程中，一个很重要的政策手段就是采用了零利率或低利率，而在中国资本回报率已经从</w:t>
      </w:r>
      <w:r>
        <w:rPr>
          <w:rFonts w:ascii="Arial" w:hAnsi="Arial" w:cs="Arial"/>
          <w:color w:val="333333"/>
          <w:sz w:val="19"/>
          <w:szCs w:val="19"/>
          <w:shd w:val="clear" w:color="auto" w:fill="FFFFFF"/>
        </w:rPr>
        <w:t>2008</w:t>
      </w:r>
      <w:r>
        <w:rPr>
          <w:rFonts w:ascii="Arial" w:hAnsi="Arial" w:cs="Arial"/>
          <w:color w:val="333333"/>
          <w:sz w:val="19"/>
          <w:szCs w:val="19"/>
          <w:shd w:val="clear" w:color="auto" w:fill="FFFFFF"/>
        </w:rPr>
        <w:t>年的</w:t>
      </w:r>
      <w:r>
        <w:rPr>
          <w:rFonts w:ascii="Arial" w:hAnsi="Arial" w:cs="Arial"/>
          <w:color w:val="333333"/>
          <w:sz w:val="19"/>
          <w:szCs w:val="19"/>
          <w:shd w:val="clear" w:color="auto" w:fill="FFFFFF"/>
        </w:rPr>
        <w:t>10%</w:t>
      </w:r>
      <w:r>
        <w:rPr>
          <w:rFonts w:ascii="Arial" w:hAnsi="Arial" w:cs="Arial"/>
          <w:color w:val="333333"/>
          <w:sz w:val="19"/>
          <w:szCs w:val="19"/>
          <w:shd w:val="clear" w:color="auto" w:fill="FFFFFF"/>
        </w:rPr>
        <w:t>左右降到</w:t>
      </w:r>
      <w:r>
        <w:rPr>
          <w:rFonts w:ascii="Arial" w:hAnsi="Arial" w:cs="Arial"/>
          <w:color w:val="333333"/>
          <w:sz w:val="19"/>
          <w:szCs w:val="19"/>
          <w:shd w:val="clear" w:color="auto" w:fill="FFFFFF"/>
        </w:rPr>
        <w:t>3%</w:t>
      </w:r>
      <w:r>
        <w:rPr>
          <w:rFonts w:ascii="Arial" w:hAnsi="Arial" w:cs="Arial"/>
          <w:color w:val="333333"/>
          <w:sz w:val="19"/>
          <w:szCs w:val="19"/>
          <w:shd w:val="clear" w:color="auto" w:fill="FFFFFF"/>
        </w:rPr>
        <w:t>左右的情况下，中国的利率水平依然维持在一个较高水平，这显然不利于中国企业在经济增长下行区间的良性发展。</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b/>
          <w:color w:val="333333"/>
          <w:sz w:val="21"/>
          <w:szCs w:val="21"/>
          <w:shd w:val="clear" w:color="auto" w:fill="FFFFFF"/>
        </w:rPr>
        <w:t>第二，深化金融体制改革，促进金融部</w:t>
      </w:r>
      <w:r>
        <w:rPr>
          <w:rFonts w:ascii="Arial" w:hAnsi="Arial" w:cs="Arial"/>
          <w:b/>
          <w:color w:val="333333"/>
          <w:sz w:val="21"/>
          <w:szCs w:val="21"/>
          <w:shd w:val="clear" w:color="auto" w:fill="FFFFFF"/>
        </w:rPr>
        <w:t>门和实体经济良性循环，打破民企融资难和地方债务高企关联困境。</w:t>
      </w:r>
      <w:r>
        <w:rPr>
          <w:rFonts w:ascii="Arial" w:hAnsi="Arial" w:cs="Arial"/>
          <w:color w:val="333333"/>
          <w:sz w:val="19"/>
          <w:szCs w:val="19"/>
          <w:shd w:val="clear" w:color="auto" w:fill="FFFFFF"/>
        </w:rPr>
        <w:t>近年来，我国民企融资难、融资贵以及地方债务高企等诸多经济问题集中出现，表明当前经济问题的关联性日趋紧密，对其成因的探究也不应机械地拘泥于某一经济部门或环节，而应注重各问题之间的动态联动机制。</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金融运行效率下降会推高金融系统自身的融资成本，导致民营企业融资贵和实体经济产出的下降；而在我国当前的财政分权制度和以经济增长为标准的政绩考核体制下，地方政府会通过举债融资的方式增加对经济体的补贴力度。数值模拟表明，金融运行效率下降</w:t>
      </w:r>
      <w:r>
        <w:rPr>
          <w:rFonts w:ascii="Arial" w:hAnsi="Arial" w:cs="Arial"/>
          <w:color w:val="333333"/>
          <w:sz w:val="19"/>
          <w:szCs w:val="19"/>
          <w:shd w:val="clear" w:color="auto" w:fill="FFFFFF"/>
        </w:rPr>
        <w:t>1%</w:t>
      </w:r>
      <w:r>
        <w:rPr>
          <w:rFonts w:ascii="Arial" w:hAnsi="Arial" w:cs="Arial"/>
          <w:color w:val="333333"/>
          <w:sz w:val="19"/>
          <w:szCs w:val="19"/>
          <w:shd w:val="clear" w:color="auto" w:fill="FFFFFF"/>
        </w:rPr>
        <w:t>导致地方债务规模增加</w:t>
      </w:r>
      <w:r>
        <w:rPr>
          <w:rFonts w:ascii="Arial" w:hAnsi="Arial" w:cs="Arial"/>
          <w:color w:val="333333"/>
          <w:sz w:val="19"/>
          <w:szCs w:val="19"/>
          <w:shd w:val="clear" w:color="auto" w:fill="FFFFFF"/>
        </w:rPr>
        <w:t>2.0</w:t>
      </w:r>
      <w:r>
        <w:rPr>
          <w:rFonts w:ascii="Arial" w:hAnsi="Arial" w:cs="Arial"/>
          <w:color w:val="333333"/>
          <w:sz w:val="19"/>
          <w:szCs w:val="19"/>
          <w:shd w:val="clear" w:color="auto" w:fill="FFFFFF"/>
        </w:rPr>
        <w:t>1%</w:t>
      </w:r>
      <w:r>
        <w:rPr>
          <w:rFonts w:ascii="Arial" w:hAnsi="Arial" w:cs="Arial"/>
          <w:color w:val="333333"/>
          <w:sz w:val="19"/>
          <w:szCs w:val="19"/>
          <w:shd w:val="clear" w:color="auto" w:fill="FFFFFF"/>
        </w:rPr>
        <w:t>，并且金融体系的信贷配置效率下降会使得信贷资源错配加剧，导致民营企业融资难和资本的回报率及其效率的下降，从而进一步加剧金融运行效率对地方债务的影响。</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proofErr w:type="gramStart"/>
      <w:r>
        <w:rPr>
          <w:rFonts w:ascii="Arial" w:hAnsi="Arial" w:cs="Arial"/>
          <w:color w:val="333333"/>
          <w:sz w:val="19"/>
          <w:szCs w:val="19"/>
          <w:shd w:val="clear" w:color="auto" w:fill="FFFFFF"/>
        </w:rPr>
        <w:t>反事实</w:t>
      </w:r>
      <w:proofErr w:type="gramEnd"/>
      <w:r>
        <w:rPr>
          <w:rFonts w:ascii="Arial" w:hAnsi="Arial" w:cs="Arial"/>
          <w:color w:val="333333"/>
          <w:sz w:val="19"/>
          <w:szCs w:val="19"/>
          <w:shd w:val="clear" w:color="auto" w:fill="FFFFFF"/>
        </w:rPr>
        <w:t>分析显示，由金融运行低效率导致的经济下行，依靠</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债务驱动</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发展的治理模式是不可行的；增加</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债务驱动</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的力度短期内可以在一定程度上缓释经济下行压力；但是从长期来看，</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债务驱动</w:t>
      </w:r>
      <w:r>
        <w:rPr>
          <w:rFonts w:ascii="Arial" w:hAnsi="Arial" w:cs="Arial"/>
          <w:color w:val="333333"/>
          <w:sz w:val="19"/>
          <w:szCs w:val="19"/>
          <w:shd w:val="clear" w:color="auto" w:fill="FFFFFF"/>
        </w:rPr>
        <w:t>”</w:t>
      </w:r>
      <w:r>
        <w:rPr>
          <w:rFonts w:ascii="Arial" w:hAnsi="Arial" w:cs="Arial"/>
          <w:color w:val="333333"/>
          <w:sz w:val="19"/>
          <w:szCs w:val="19"/>
          <w:shd w:val="clear" w:color="auto" w:fill="FFFFFF"/>
        </w:rPr>
        <w:t>发展的方式无异于饮鸩止渴，会加剧金融运行效率下降，造成经济状况进一步恶化。福利分析则表明，金融运行效率下降</w:t>
      </w:r>
      <w:r>
        <w:rPr>
          <w:rFonts w:ascii="Arial" w:hAnsi="Arial" w:cs="Arial"/>
          <w:color w:val="333333"/>
          <w:sz w:val="19"/>
          <w:szCs w:val="19"/>
          <w:shd w:val="clear" w:color="auto" w:fill="FFFFFF"/>
        </w:rPr>
        <w:t>1%</w:t>
      </w:r>
      <w:r>
        <w:rPr>
          <w:rFonts w:ascii="Arial" w:hAnsi="Arial" w:cs="Arial"/>
          <w:color w:val="333333"/>
          <w:sz w:val="19"/>
          <w:szCs w:val="19"/>
          <w:shd w:val="clear" w:color="auto" w:fill="FFFFFF"/>
        </w:rPr>
        <w:t>造成整个经济体的福利损失为</w:t>
      </w:r>
      <w:r>
        <w:rPr>
          <w:rFonts w:ascii="Arial" w:hAnsi="Arial" w:cs="Arial"/>
          <w:color w:val="333333"/>
          <w:sz w:val="19"/>
          <w:szCs w:val="19"/>
          <w:shd w:val="clear" w:color="auto" w:fill="FFFFFF"/>
        </w:rPr>
        <w:t>0.52%</w:t>
      </w:r>
      <w:r>
        <w:rPr>
          <w:rFonts w:ascii="Arial" w:hAnsi="Arial" w:cs="Arial"/>
          <w:color w:val="333333"/>
          <w:sz w:val="19"/>
          <w:szCs w:val="19"/>
          <w:shd w:val="clear" w:color="auto" w:fill="FFFFFF"/>
        </w:rPr>
        <w:t>，并且信贷配置效率越低，金融运行效率下降造成的福利损失越大。因此，需要通过深化金融体制改革，破除问题背后的制度性根源，以市场化为导向提升金融运行效率和信贷配置效率，才是解决融资难以及地方</w:t>
      </w:r>
      <w:r>
        <w:rPr>
          <w:rFonts w:ascii="Arial" w:hAnsi="Arial" w:cs="Arial"/>
          <w:color w:val="333333"/>
          <w:sz w:val="19"/>
          <w:szCs w:val="19"/>
          <w:shd w:val="clear" w:color="auto" w:fill="FFFFFF"/>
        </w:rPr>
        <w:t>债务问题的治本之道。当然，地方债务问题也跟后面要提及的财政体制结构性问题相关。</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b/>
          <w:color w:val="333333"/>
          <w:sz w:val="21"/>
          <w:szCs w:val="21"/>
          <w:shd w:val="clear" w:color="auto" w:fill="FFFFFF"/>
        </w:rPr>
        <w:t>第三，深化财政体制改革，促进中央政府与地方政府激励相容，营造为促进民营经济发展而竞争的良性局面。</w:t>
      </w:r>
      <w:r>
        <w:rPr>
          <w:rFonts w:ascii="Arial" w:hAnsi="Arial" w:cs="Arial"/>
          <w:color w:val="333333"/>
          <w:sz w:val="19"/>
          <w:szCs w:val="19"/>
          <w:shd w:val="clear" w:color="auto" w:fill="FFFFFF"/>
        </w:rPr>
        <w:t>财政是国家治理的基础。分税制改革后，财权上移、中央财政收入占比提升成为我国政府间财政关系的一个明显特点，这也是</w:t>
      </w:r>
      <w:r>
        <w:rPr>
          <w:rFonts w:ascii="Arial" w:hAnsi="Arial" w:cs="Arial"/>
          <w:color w:val="333333"/>
          <w:sz w:val="19"/>
          <w:szCs w:val="19"/>
          <w:shd w:val="clear" w:color="auto" w:fill="FFFFFF"/>
        </w:rPr>
        <w:t>1994</w:t>
      </w:r>
      <w:r>
        <w:rPr>
          <w:rFonts w:ascii="Arial" w:hAnsi="Arial" w:cs="Arial"/>
          <w:color w:val="333333"/>
          <w:sz w:val="19"/>
          <w:szCs w:val="19"/>
          <w:shd w:val="clear" w:color="auto" w:fill="FFFFFF"/>
        </w:rPr>
        <w:t>年这场改革主导者的初衷之一。从大的趋势来</w:t>
      </w:r>
      <w:r>
        <w:rPr>
          <w:rFonts w:ascii="Arial" w:hAnsi="Arial" w:cs="Arial"/>
          <w:color w:val="333333"/>
          <w:sz w:val="19"/>
          <w:szCs w:val="19"/>
          <w:shd w:val="clear" w:color="auto" w:fill="FFFFFF"/>
        </w:rPr>
        <w:lastRenderedPageBreak/>
        <w:t>看，这与我国推进政府职能转变背景下实现基本公共服务均等化的要求是相适应的，与各国强调中央税权约束地方税权的税权治理共性也是一致的。但是，这也带来一个问题就是地方财权压缩而支出责任</w:t>
      </w:r>
      <w:r>
        <w:rPr>
          <w:rFonts w:ascii="Arial" w:hAnsi="Arial" w:cs="Arial"/>
          <w:color w:val="333333"/>
          <w:sz w:val="19"/>
          <w:szCs w:val="19"/>
          <w:shd w:val="clear" w:color="auto" w:fill="FFFFFF"/>
        </w:rPr>
        <w:t>却不断增加。面对自上而下不断累加的任务和指标，地方政府只能靠大搞土地财政和增加收费项目，来填补缺口，偏离了现代公共财政的发展轨道。所以，财税体制改革不能仅仅是分钱了事，必须触及更深层次的事权和财权的结构性再分配，不能将地方事权压得过重而财权统得过死。从而，一方面要对中央和地方的事权和支出责任划分</w:t>
      </w:r>
      <w:proofErr w:type="gramStart"/>
      <w:r>
        <w:rPr>
          <w:rFonts w:ascii="Arial" w:hAnsi="Arial" w:cs="Arial"/>
          <w:color w:val="333333"/>
          <w:sz w:val="19"/>
          <w:szCs w:val="19"/>
          <w:shd w:val="clear" w:color="auto" w:fill="FFFFFF"/>
        </w:rPr>
        <w:t>作出</w:t>
      </w:r>
      <w:proofErr w:type="gramEnd"/>
      <w:r>
        <w:rPr>
          <w:rFonts w:ascii="Arial" w:hAnsi="Arial" w:cs="Arial"/>
          <w:color w:val="333333"/>
          <w:sz w:val="19"/>
          <w:szCs w:val="19"/>
          <w:shd w:val="clear" w:color="auto" w:fill="FFFFFF"/>
        </w:rPr>
        <w:t>科学合理的法律性制度安排，另一方面要赋予地方一定的相对独立税权。</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b/>
          <w:color w:val="333333"/>
          <w:sz w:val="21"/>
          <w:szCs w:val="21"/>
          <w:shd w:val="clear" w:color="auto" w:fill="FFFFFF"/>
        </w:rPr>
        <w:t>同时，也要进一步优化地方政府官员考核晋升体系，激励引导地方从债务驱动发展模式转向民企驱动发展模式。</w:t>
      </w:r>
      <w:r>
        <w:rPr>
          <w:rFonts w:ascii="Arial" w:hAnsi="Arial" w:cs="Arial"/>
          <w:color w:val="333333"/>
          <w:sz w:val="19"/>
          <w:szCs w:val="19"/>
          <w:shd w:val="clear" w:color="auto" w:fill="FFFFFF"/>
        </w:rPr>
        <w:t>对于中国现有政府治理框架而言，一个激励相容的治理</w:t>
      </w:r>
      <w:r>
        <w:rPr>
          <w:rFonts w:ascii="Arial" w:hAnsi="Arial" w:cs="Arial"/>
          <w:color w:val="333333"/>
          <w:sz w:val="19"/>
          <w:szCs w:val="19"/>
          <w:shd w:val="clear" w:color="auto" w:fill="FFFFFF"/>
        </w:rPr>
        <w:t>体系应该能够发挥好中央与地方的两个积极性，以使中央和地方在求解各自目标函数的过程中实现社会经济整体福利的改进，而民营经济的发展则是中央和地方的一个共同目标。在</w:t>
      </w:r>
      <w:r>
        <w:rPr>
          <w:rFonts w:ascii="Arial" w:hAnsi="Arial" w:cs="Arial"/>
          <w:color w:val="333333"/>
          <w:sz w:val="19"/>
          <w:szCs w:val="19"/>
          <w:shd w:val="clear" w:color="auto" w:fill="FFFFFF"/>
        </w:rPr>
        <w:t>2018</w:t>
      </w:r>
      <w:r>
        <w:rPr>
          <w:rFonts w:ascii="Arial" w:hAnsi="Arial" w:cs="Arial"/>
          <w:color w:val="333333"/>
          <w:sz w:val="19"/>
          <w:szCs w:val="19"/>
          <w:shd w:val="clear" w:color="auto" w:fill="FFFFFF"/>
        </w:rPr>
        <w:t>年</w:t>
      </w:r>
      <w:r>
        <w:rPr>
          <w:rFonts w:ascii="Arial" w:hAnsi="Arial" w:cs="Arial"/>
          <w:color w:val="333333"/>
          <w:sz w:val="19"/>
          <w:szCs w:val="19"/>
          <w:shd w:val="clear" w:color="auto" w:fill="FFFFFF"/>
        </w:rPr>
        <w:t>11</w:t>
      </w:r>
      <w:r>
        <w:rPr>
          <w:rFonts w:ascii="Arial" w:hAnsi="Arial" w:cs="Arial"/>
          <w:color w:val="333333"/>
          <w:sz w:val="19"/>
          <w:szCs w:val="19"/>
          <w:shd w:val="clear" w:color="auto" w:fill="FFFFFF"/>
        </w:rPr>
        <w:t>月</w:t>
      </w:r>
      <w:r>
        <w:rPr>
          <w:rFonts w:ascii="Arial" w:hAnsi="Arial" w:cs="Arial"/>
          <w:color w:val="333333"/>
          <w:sz w:val="19"/>
          <w:szCs w:val="19"/>
          <w:shd w:val="clear" w:color="auto" w:fill="FFFFFF"/>
        </w:rPr>
        <w:t>1</w:t>
      </w:r>
      <w:r>
        <w:rPr>
          <w:rFonts w:ascii="Arial" w:hAnsi="Arial" w:cs="Arial"/>
          <w:color w:val="333333"/>
          <w:sz w:val="19"/>
          <w:szCs w:val="19"/>
          <w:shd w:val="clear" w:color="auto" w:fill="FFFFFF"/>
        </w:rPr>
        <w:t>日召开的民营经济座谈会上，中央对我国民营经济的重要地位和作用给予了充分肯定，对当前民营经济发展遇到的困难和问题也给出了基本判断，提出要大力支持民营企业发展壮大。这一会议召开之后，各省区市陆续出台了关于促进民营经济健康发展的各</w:t>
      </w:r>
      <w:proofErr w:type="gramStart"/>
      <w:r>
        <w:rPr>
          <w:rFonts w:ascii="Arial" w:hAnsi="Arial" w:cs="Arial"/>
          <w:color w:val="333333"/>
          <w:sz w:val="19"/>
          <w:szCs w:val="19"/>
          <w:shd w:val="clear" w:color="auto" w:fill="FFFFFF"/>
        </w:rPr>
        <w:t>类政策</w:t>
      </w:r>
      <w:proofErr w:type="gramEnd"/>
      <w:r>
        <w:rPr>
          <w:rFonts w:ascii="Arial" w:hAnsi="Arial" w:cs="Arial"/>
          <w:color w:val="333333"/>
          <w:sz w:val="19"/>
          <w:szCs w:val="19"/>
          <w:shd w:val="clear" w:color="auto" w:fill="FFFFFF"/>
        </w:rPr>
        <w:t>意见，形成了一种为促进民营经济发展而竞争的良性局面。这是一个值得肯定的趋势，但关键是政策要落地，否则民营经</w:t>
      </w:r>
      <w:r>
        <w:rPr>
          <w:rFonts w:ascii="Arial" w:hAnsi="Arial" w:cs="Arial"/>
          <w:color w:val="333333"/>
          <w:sz w:val="19"/>
          <w:szCs w:val="19"/>
          <w:shd w:val="clear" w:color="auto" w:fill="FFFFFF"/>
        </w:rPr>
        <w:t>济所遇到的困难和问题得不到真正解决，</w:t>
      </w:r>
      <w:proofErr w:type="gramStart"/>
      <w:r>
        <w:rPr>
          <w:rFonts w:ascii="Arial" w:hAnsi="Arial" w:cs="Arial"/>
          <w:color w:val="333333"/>
          <w:sz w:val="19"/>
          <w:szCs w:val="19"/>
          <w:shd w:val="clear" w:color="auto" w:fill="FFFFFF"/>
        </w:rPr>
        <w:t>那样中国</w:t>
      </w:r>
      <w:proofErr w:type="gramEnd"/>
      <w:r>
        <w:rPr>
          <w:rFonts w:ascii="Arial" w:hAnsi="Arial" w:cs="Arial"/>
          <w:color w:val="333333"/>
          <w:sz w:val="19"/>
          <w:szCs w:val="19"/>
          <w:shd w:val="clear" w:color="auto" w:fill="FFFFFF"/>
        </w:rPr>
        <w:t>经济增长的内生动力将会被严重削弱。</w:t>
      </w:r>
    </w:p>
    <w:p w:rsidR="007B2D34" w:rsidRDefault="00643490">
      <w:pPr>
        <w:pStyle w:val="a3"/>
        <w:widowControl/>
        <w:shd w:val="clear" w:color="auto" w:fill="FFFFFF"/>
        <w:spacing w:before="264" w:beforeAutospacing="0" w:afterAutospacing="0" w:line="288" w:lineRule="atLeast"/>
        <w:jc w:val="both"/>
        <w:rPr>
          <w:rFonts w:ascii="Arial" w:hAnsi="Arial" w:cs="Arial"/>
          <w:color w:val="333333"/>
          <w:sz w:val="19"/>
          <w:szCs w:val="19"/>
        </w:rPr>
      </w:pPr>
      <w:r>
        <w:rPr>
          <w:rFonts w:ascii="Arial" w:hAnsi="Arial" w:cs="Arial"/>
          <w:color w:val="333333"/>
          <w:sz w:val="19"/>
          <w:szCs w:val="19"/>
          <w:shd w:val="clear" w:color="auto" w:fill="FFFFFF"/>
        </w:rPr>
        <w:t xml:space="preserve">　</w:t>
      </w:r>
    </w:p>
    <w:p w:rsidR="007B2D34" w:rsidRDefault="007B2D34"/>
    <w:sectPr w:rsidR="007B2D34" w:rsidSect="007B2D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490" w:rsidRDefault="00643490" w:rsidP="007F7C2D">
      <w:r>
        <w:separator/>
      </w:r>
    </w:p>
  </w:endnote>
  <w:endnote w:type="continuationSeparator" w:id="0">
    <w:p w:rsidR="00643490" w:rsidRDefault="00643490" w:rsidP="007F7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490" w:rsidRDefault="00643490" w:rsidP="007F7C2D">
      <w:r>
        <w:separator/>
      </w:r>
    </w:p>
  </w:footnote>
  <w:footnote w:type="continuationSeparator" w:id="0">
    <w:p w:rsidR="00643490" w:rsidRDefault="00643490" w:rsidP="007F7C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1223C1"/>
    <w:rsid w:val="00643490"/>
    <w:rsid w:val="007B2D34"/>
    <w:rsid w:val="007F7C2D"/>
    <w:rsid w:val="021223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D3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B2D34"/>
    <w:pPr>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7B2D34"/>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2D34"/>
    <w:pPr>
      <w:spacing w:beforeAutospacing="1" w:afterAutospacing="1"/>
      <w:jc w:val="left"/>
    </w:pPr>
    <w:rPr>
      <w:rFonts w:cs="Times New Roman"/>
      <w:kern w:val="0"/>
      <w:sz w:val="24"/>
    </w:rPr>
  </w:style>
  <w:style w:type="character" w:styleId="a4">
    <w:name w:val="FollowedHyperlink"/>
    <w:basedOn w:val="a0"/>
    <w:rsid w:val="007B2D34"/>
    <w:rPr>
      <w:color w:val="4A4A4A"/>
      <w:u w:val="none"/>
    </w:rPr>
  </w:style>
  <w:style w:type="character" w:styleId="a5">
    <w:name w:val="Emphasis"/>
    <w:basedOn w:val="a0"/>
    <w:qFormat/>
    <w:rsid w:val="007B2D34"/>
  </w:style>
  <w:style w:type="character" w:styleId="a6">
    <w:name w:val="Hyperlink"/>
    <w:basedOn w:val="a0"/>
    <w:rsid w:val="007B2D34"/>
    <w:rPr>
      <w:color w:val="4A4A4A"/>
      <w:u w:val="none"/>
    </w:rPr>
  </w:style>
  <w:style w:type="character" w:styleId="HTML">
    <w:name w:val="HTML Cite"/>
    <w:basedOn w:val="a0"/>
    <w:rsid w:val="007B2D34"/>
  </w:style>
  <w:style w:type="character" w:customStyle="1" w:styleId="layui-layer-tabnow">
    <w:name w:val="layui-layer-tabnow"/>
    <w:basedOn w:val="a0"/>
    <w:rsid w:val="007B2D34"/>
    <w:rPr>
      <w:bdr w:val="single" w:sz="4" w:space="0" w:color="CCCCCC"/>
      <w:shd w:val="clear" w:color="auto" w:fill="FFFFFF"/>
    </w:rPr>
  </w:style>
  <w:style w:type="character" w:customStyle="1" w:styleId="first-child">
    <w:name w:val="first-child"/>
    <w:basedOn w:val="a0"/>
    <w:rsid w:val="007B2D34"/>
    <w:rPr>
      <w:bdr w:val="none" w:sz="0" w:space="0" w:color="auto"/>
    </w:rPr>
  </w:style>
  <w:style w:type="character" w:customStyle="1" w:styleId="textalign">
    <w:name w:val="textalign"/>
    <w:basedOn w:val="a0"/>
    <w:rsid w:val="007B2D34"/>
  </w:style>
  <w:style w:type="character" w:customStyle="1" w:styleId="eye-show">
    <w:name w:val="eye-show"/>
    <w:basedOn w:val="a0"/>
    <w:rsid w:val="007B2D34"/>
  </w:style>
  <w:style w:type="character" w:customStyle="1" w:styleId="sign">
    <w:name w:val="sign"/>
    <w:basedOn w:val="a0"/>
    <w:rsid w:val="007B2D34"/>
  </w:style>
  <w:style w:type="character" w:customStyle="1" w:styleId="tabri">
    <w:name w:val="tabri"/>
    <w:basedOn w:val="a0"/>
    <w:rsid w:val="007B2D34"/>
  </w:style>
  <w:style w:type="character" w:customStyle="1" w:styleId="tablf">
    <w:name w:val="tablf"/>
    <w:basedOn w:val="a0"/>
    <w:rsid w:val="007B2D34"/>
  </w:style>
  <w:style w:type="character" w:customStyle="1" w:styleId="current">
    <w:name w:val="current"/>
    <w:basedOn w:val="a0"/>
    <w:rsid w:val="007B2D34"/>
    <w:rPr>
      <w:color w:val="1F286F"/>
    </w:rPr>
  </w:style>
  <w:style w:type="character" w:customStyle="1" w:styleId="hover78">
    <w:name w:val="hover78"/>
    <w:basedOn w:val="a0"/>
    <w:rsid w:val="007B2D34"/>
    <w:rPr>
      <w:color w:val="1F286F"/>
    </w:rPr>
  </w:style>
  <w:style w:type="character" w:customStyle="1" w:styleId="hover79">
    <w:name w:val="hover79"/>
    <w:basedOn w:val="a0"/>
    <w:rsid w:val="007B2D34"/>
    <w:rPr>
      <w:u w:val="single"/>
    </w:rPr>
  </w:style>
  <w:style w:type="character" w:customStyle="1" w:styleId="trclogosvalign">
    <w:name w:val="trc_logos_v_align"/>
    <w:basedOn w:val="a0"/>
    <w:rsid w:val="007B2D34"/>
  </w:style>
  <w:style w:type="paragraph" w:styleId="a7">
    <w:name w:val="Balloon Text"/>
    <w:basedOn w:val="a"/>
    <w:link w:val="Char"/>
    <w:rsid w:val="007F7C2D"/>
    <w:rPr>
      <w:sz w:val="18"/>
      <w:szCs w:val="18"/>
    </w:rPr>
  </w:style>
  <w:style w:type="character" w:customStyle="1" w:styleId="Char">
    <w:name w:val="批注框文本 Char"/>
    <w:basedOn w:val="a0"/>
    <w:link w:val="a7"/>
    <w:rsid w:val="007F7C2D"/>
    <w:rPr>
      <w:rFonts w:asciiTheme="minorHAnsi" w:eastAsiaTheme="minorEastAsia" w:hAnsiTheme="minorHAnsi" w:cstheme="minorBidi"/>
      <w:kern w:val="2"/>
      <w:sz w:val="18"/>
      <w:szCs w:val="18"/>
    </w:rPr>
  </w:style>
  <w:style w:type="paragraph" w:styleId="a8">
    <w:name w:val="header"/>
    <w:basedOn w:val="a"/>
    <w:link w:val="Char0"/>
    <w:rsid w:val="007F7C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7F7C2D"/>
    <w:rPr>
      <w:rFonts w:asciiTheme="minorHAnsi" w:eastAsiaTheme="minorEastAsia" w:hAnsiTheme="minorHAnsi" w:cstheme="minorBidi"/>
      <w:kern w:val="2"/>
      <w:sz w:val="18"/>
      <w:szCs w:val="18"/>
    </w:rPr>
  </w:style>
  <w:style w:type="paragraph" w:styleId="a9">
    <w:name w:val="footer"/>
    <w:basedOn w:val="a"/>
    <w:link w:val="Char1"/>
    <w:rsid w:val="007F7C2D"/>
    <w:pPr>
      <w:tabs>
        <w:tab w:val="center" w:pos="4153"/>
        <w:tab w:val="right" w:pos="8306"/>
      </w:tabs>
      <w:snapToGrid w:val="0"/>
      <w:jc w:val="left"/>
    </w:pPr>
    <w:rPr>
      <w:sz w:val="18"/>
      <w:szCs w:val="18"/>
    </w:rPr>
  </w:style>
  <w:style w:type="character" w:customStyle="1" w:styleId="Char1">
    <w:name w:val="页脚 Char"/>
    <w:basedOn w:val="a0"/>
    <w:link w:val="a9"/>
    <w:rsid w:val="007F7C2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jjsb.cet.com.cn/show_50584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897</Words>
  <Characters>5113</Characters>
  <Application>Microsoft Office Word</Application>
  <DocSecurity>0</DocSecurity>
  <Lines>42</Lines>
  <Paragraphs>11</Paragraphs>
  <ScaleCrop>false</ScaleCrop>
  <Company>user</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刘伟</dc:creator>
  <cp:lastModifiedBy>user</cp:lastModifiedBy>
  <cp:revision>2</cp:revision>
  <dcterms:created xsi:type="dcterms:W3CDTF">2019-01-22T02:44:00Z</dcterms:created>
  <dcterms:modified xsi:type="dcterms:W3CDTF">2019-01-23T12:40:00Z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