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32" w:rsidRPr="00254C32" w:rsidRDefault="00254C32" w:rsidP="00254C32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HiraginoSansGB-W6" w:eastAsia="宋体" w:hAnsi="HiraginoSansGB-W6" w:cs="宋体"/>
          <w:b/>
          <w:bCs/>
          <w:kern w:val="0"/>
          <w:sz w:val="36"/>
          <w:szCs w:val="36"/>
        </w:rPr>
      </w:pPr>
      <w:r w:rsidRPr="00254C32">
        <w:rPr>
          <w:rFonts w:ascii="HiraginoSansGB-W6" w:eastAsia="宋体" w:hAnsi="HiraginoSansGB-W6" w:cs="宋体"/>
          <w:b/>
          <w:bCs/>
          <w:kern w:val="0"/>
          <w:sz w:val="36"/>
          <w:szCs w:val="36"/>
        </w:rPr>
        <w:t>【财经分析】疫情下</w:t>
      </w:r>
      <w:r w:rsidRPr="00254C32">
        <w:rPr>
          <w:rFonts w:ascii="HiraginoSansGB-W6" w:eastAsia="宋体" w:hAnsi="HiraginoSansGB-W6" w:cs="宋体"/>
          <w:b/>
          <w:bCs/>
          <w:kern w:val="0"/>
          <w:sz w:val="36"/>
          <w:szCs w:val="36"/>
        </w:rPr>
        <w:t>“</w:t>
      </w:r>
      <w:r w:rsidRPr="00254C32">
        <w:rPr>
          <w:rFonts w:ascii="HiraginoSansGB-W6" w:eastAsia="宋体" w:hAnsi="HiraginoSansGB-W6" w:cs="宋体"/>
          <w:b/>
          <w:bCs/>
          <w:kern w:val="0"/>
          <w:sz w:val="36"/>
          <w:szCs w:val="36"/>
        </w:rPr>
        <w:t>宅经济</w:t>
      </w:r>
      <w:r w:rsidRPr="00254C32">
        <w:rPr>
          <w:rFonts w:ascii="HiraginoSansGB-W6" w:eastAsia="宋体" w:hAnsi="HiraginoSansGB-W6" w:cs="宋体"/>
          <w:b/>
          <w:bCs/>
          <w:kern w:val="0"/>
          <w:sz w:val="36"/>
          <w:szCs w:val="36"/>
        </w:rPr>
        <w:t>”</w:t>
      </w:r>
      <w:r w:rsidRPr="00254C32">
        <w:rPr>
          <w:rFonts w:ascii="HiraginoSansGB-W6" w:eastAsia="宋体" w:hAnsi="HiraginoSansGB-W6" w:cs="宋体"/>
          <w:b/>
          <w:bCs/>
          <w:kern w:val="0"/>
          <w:sz w:val="36"/>
          <w:szCs w:val="36"/>
        </w:rPr>
        <w:t>逆市火爆</w:t>
      </w:r>
      <w:r w:rsidRPr="00254C32">
        <w:rPr>
          <w:rFonts w:ascii="HiraginoSansGB-W6" w:eastAsia="宋体" w:hAnsi="HiraginoSansGB-W6" w:cs="宋体"/>
          <w:b/>
          <w:bCs/>
          <w:kern w:val="0"/>
          <w:sz w:val="36"/>
          <w:szCs w:val="36"/>
        </w:rPr>
        <w:t xml:space="preserve"> </w:t>
      </w:r>
      <w:r w:rsidRPr="00254C32">
        <w:rPr>
          <w:rFonts w:ascii="HiraginoSansGB-W6" w:eastAsia="宋体" w:hAnsi="HiraginoSansGB-W6" w:cs="宋体"/>
          <w:b/>
          <w:bCs/>
          <w:kern w:val="0"/>
          <w:sz w:val="36"/>
          <w:szCs w:val="36"/>
        </w:rPr>
        <w:t>未来仍大有可为</w:t>
      </w:r>
    </w:p>
    <w:p w:rsidR="00254C32" w:rsidRPr="00254C32" w:rsidRDefault="00254C32" w:rsidP="00254C32">
      <w:pPr>
        <w:widowControl/>
        <w:shd w:val="clear" w:color="auto" w:fill="FFFFFF"/>
        <w:jc w:val="center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新华财经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 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王淑娟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 xml:space="preserve"> 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高少华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02-24 15:59</w:t>
      </w:r>
    </w:p>
    <w:p w:rsidR="00254C32" w:rsidRPr="00254C32" w:rsidRDefault="00254C32" w:rsidP="00254C32">
      <w:pPr>
        <w:widowControl/>
        <w:shd w:val="clear" w:color="auto" w:fill="FFFFFF"/>
        <w:rPr>
          <w:rFonts w:ascii="HiraginoSansGB-W3" w:eastAsia="宋体" w:hAnsi="HiraginoSansGB-W3" w:cs="宋体"/>
          <w:kern w:val="0"/>
          <w:sz w:val="24"/>
          <w:szCs w:val="24"/>
        </w:rPr>
      </w:pPr>
    </w:p>
    <w:p w:rsidR="00254C32" w:rsidRPr="00254C32" w:rsidRDefault="00254C32" w:rsidP="00254C32">
      <w:pPr>
        <w:widowControl/>
        <w:shd w:val="clear" w:color="auto" w:fill="FFFFFF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分析人士认为，此次疫情促使数字技术进入大规模应用阶段，也进一步培育了线上消费习惯。随着</w:t>
      </w:r>
      <w:proofErr w:type="spell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5G</w:t>
      </w:r>
      <w:proofErr w:type="spell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时代的到来，未来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仍大有可为。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新华财经上海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2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月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24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日电（记者王淑娟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 xml:space="preserve"> 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高少华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）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 xml:space="preserve"> 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疫情影响下，不少居民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宅在家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，消费需求转向线上后，生鲜配送、在线医疗、在线教育、远程办公等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业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态持续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火爆。近期不少互联网应用平台业务量大增，下载量、活跃用户数等指标均数倍增长。资本市场上，与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相关的概念股表现活跃。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分析人士认为，疫情过后，随着生活、工作的恢复调整，一些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业态难免会有所降温。但此次疫情促使数字技术进入大规模应用阶段，也进一步培育了线上消费习惯。随着</w:t>
      </w:r>
      <w:proofErr w:type="spell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5G</w:t>
      </w:r>
      <w:proofErr w:type="spell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时代的到来，未来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仍大有可为。</w:t>
      </w:r>
    </w:p>
    <w:p w:rsidR="00254C32" w:rsidRPr="00254C32" w:rsidRDefault="00254C32" w:rsidP="00254C32">
      <w:pPr>
        <w:widowControl/>
        <w:shd w:val="clear" w:color="auto" w:fill="FFFFFF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居家</w:t>
      </w:r>
      <w:proofErr w:type="gramStart"/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防疫催热</w:t>
      </w: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”</w:t>
      </w:r>
      <w:proofErr w:type="gramEnd"/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因为居家防疫，新的消费需求和习惯下，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云生活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一夜兴起，生鲜配送、线上健身运动、在线医疗、在线教育、远程办公等几大方面尤为凸显。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田国强认为，这次抗击疫情所采取的封城封路、居家隔离、延迟开学等应急举措是空前的，许多消费需求尤其是服务性消费需求通过转变为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的形式得到了释放。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——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生鲜配送。大多数生鲜平台的订单配送都爆发性增长。京东到家平台上，除夕至大年初九，粮油副食商品销售额同比去年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春节增长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736%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，肉品同比增长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711%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，蔬菜增长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441%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；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每日优鲜平台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上，除夕到初八，平台实收交易额相比去年同期增长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350%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；苏宁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到家业务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规模同比增长近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4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倍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……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疫情严重冲击生鲜供应链，不少区域性的生鲜平台因为供应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链优势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也脱颖而出，山西美特好集团主要在山西经营生鲜业务，疫情期间线上订单井喷，从一天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3000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单爆增到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3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万单左右，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最爆的一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天上到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5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万单，客单价也翻了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5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倍以上。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——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线上健身。瑜伽、搏击操、广场舞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……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客厅里的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狂欢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，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给线上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健身教学和健身器材带来了机会，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一兆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韦德、威尔士等健身房都纷纷开启了线上直播教学课程。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——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在线医疗。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卫健委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2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月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以来屡次发文指出，充分发挥互联网医院、互联网诊疗的独特优势，鼓励在线开展部分常见病和慢性病的复诊和药品配送服务。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疫情期间，平安好医生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App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平台累计访问人次达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11.1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亿，新注册用户量增长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10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倍，新增用户日均问诊量是平时的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9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倍，相关视频累计播放量超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9800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万。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平安好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医生董事长兼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CEO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王涛说。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lastRenderedPageBreak/>
        <w:t>——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在线教育、远程办公、在线娱乐等。受此次疫情影响，线下教育课堂被迫停课甚至关门停业，各大教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培机构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同步提供线上辅导课程，加速了在线教育模式的发展。各企业单位也纷纷采取居家在线办公模式。百度发布的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热搜大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数据显示，近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30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天远程办公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需求环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比上涨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663%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，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云开工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成主流，其中北上广深等一线城市的网民最为关注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远程办公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的相关话题。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2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月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3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日复工第一天，超过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1000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万家企业组织、近两亿人使用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钉钉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在线办公。而相比疫情前期，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爱奇艺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视频的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会员环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比增长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1079%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，芒果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TV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、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腾讯视频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会员分别环比增长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708%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和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319%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。</w:t>
      </w:r>
    </w:p>
    <w:p w:rsidR="00254C32" w:rsidRPr="00254C32" w:rsidRDefault="00254C32" w:rsidP="00254C32">
      <w:pPr>
        <w:widowControl/>
        <w:shd w:val="clear" w:color="auto" w:fill="FFFFFF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云开张</w:t>
      </w: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成企业救命稻草</w:t>
      </w: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 “</w:t>
      </w: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概念股表现抢眼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这场突如其来的疫情，打乱了众多以往依托线下经营为主的企业的阵脚，要么关门大吉要么搬到线上自救。尽管很多企业并没有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转型线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上的充足准备和经验，但转变总比坐以待毙好。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近期，老牌连锁百货银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泰联合淘宝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发起了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导购在家直播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项目，雅诗兰黛、兰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蔻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、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NIKE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等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50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多家品牌的门店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导购变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身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云柜姐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在线上卖货。银泰百货的相关负责人表示，一名导购直播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3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小时服务的消费者人数，相当于复工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6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个月服务的客流；一次直播产生的销售额，相当于在门店上了一周的班。截至目前，首批试点的银泰导购在家直播累计观看量超过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10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万人次。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中信证券分析师杨灵修认为，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2003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年的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SARS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疫情，成就了一批以阿里巴巴、京东等为代表的在线购物平台。随着</w:t>
      </w:r>
      <w:proofErr w:type="spell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5G</w:t>
      </w:r>
      <w:proofErr w:type="spell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的快速发展，线上办公、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VAR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、在线医疗、直播带货、商超到家等新兴模式崛起，预计本次新冠肺炎疫情将催化这些行业的渗透，进入快速发展阶段。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近期，资本市场上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概念股也受到资金追捧，成为疫情下的投资风口。网络游戏、在线教育、云办公、在线医疗等板块表现活跃。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A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股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云办公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板块近一周上涨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4.62%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，万兴科技、会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畅通讯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等个股连续多日涨停。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杨灵修表示，短期内，适合家中娱乐，消磨时间的游戏、直播平台、视频网站等线上娱乐将获利。同时更需要关注的是在疫情严峻，全国大多数人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于家中的客观条件下，那些未成熟或新型模式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/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行业能够在中长期改变人们生活方式。</w:t>
      </w:r>
    </w:p>
    <w:p w:rsidR="00254C32" w:rsidRPr="00254C32" w:rsidRDefault="00254C32" w:rsidP="00254C32">
      <w:pPr>
        <w:widowControl/>
        <w:shd w:val="clear" w:color="auto" w:fill="FFFFFF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b/>
          <w:bCs/>
          <w:kern w:val="0"/>
          <w:sz w:val="24"/>
          <w:szCs w:val="24"/>
        </w:rPr>
        <w:t>是昙花一现还是有更大空间？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逆市火热，很大程度上是疫情所推动的，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是昙花一现还是未来有更大空间？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大成基金副总经理兼首席经济学家姚余栋认为，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是疫情冲击下的产物，工作上进行远程办公，饮食依靠生鲜配送，在线教育兴起，手机游戏产业也出现火爆。这些可能都是短期现象，更应该关注疫情可能对这些行业带来的长期影响，如新的商业模式和消费者习惯的改变。此次疫情的冲击，将长期改变的行业可能有在线教育、生物制药和保险行业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孙来春表示，疫情结束后会将直播作为一种常态搬到线下门店，把客流继续引进来。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今年计划新增的门店数量不会减少，预算也不会下调，但会将门店的性质做一些调整，更多地倾向于数字化门店。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lastRenderedPageBreak/>
        <w:t>不过，火起来的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也暴露出诸多不足。田国强指出，由于激增的在线需求，很多在线服务供给数量和质量难以一步到位。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线上教学、线上会议、远程办公等等需求爆发，使得很多在线教育机构和在线办公平台不堪海量的点击访问而崩溃。很多生鲜电商平台也由于供给的不足和物流的阻断，出现供不应求，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一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上线就被下单抢购光或者到手已经不新鲜的现象。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田国强认为，面对疫情冲击带来的庞大需求，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类商业模式还没有完全建构成熟，但是这其中也孕育了增长和变革的机遇。即使疫情结束之后，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宅经济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会冷下来不少，但整体仍会持续发展，并且会有更大的空间。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中国中小企业协会副会长周德文认为，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2003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年非典疫情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导致旅游、航空、餐饮和文化娱乐行业均受到负面影响，但电子商务趁机崛起，从此开启了一个新的时代，对中国商业社会带来深刻影响，还间接带动了第三方支付、现代物流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乃至团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购、外卖等行业的壮大。而这次新冠肺炎疫情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黑天鹅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或许将使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线上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与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线下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走上融合之路，中国商业面临一次结构重组，从而走向真正的升级。</w:t>
      </w:r>
    </w:p>
    <w:p w:rsidR="00254C32" w:rsidRPr="00254C32" w:rsidRDefault="00254C32" w:rsidP="00254C32">
      <w:pPr>
        <w:widowControl/>
        <w:shd w:val="clear" w:color="auto" w:fill="FFFFFF"/>
        <w:spacing w:after="240"/>
        <w:ind w:firstLine="48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商务部研究院研究员梅新育认为，疫情客观上成了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“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倒逼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”</w:t>
      </w: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电子商务新业态发展的契机，企业主体积极发展新业态和政府积极鼓励形成良性互动。企业应认真总结疫期爆发式增长的新兴产业、新兴业态、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新兴合作</w:t>
      </w:r>
      <w:proofErr w:type="gramEnd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方式，积极探索在未来的日子里将其做大，为企业发展打造新增长极</w:t>
      </w:r>
      <w:bookmarkStart w:id="0" w:name="_GoBack"/>
      <w:bookmarkEnd w:id="0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，为国民经济探索增长发展新空间。</w:t>
      </w:r>
    </w:p>
    <w:p w:rsidR="00254C32" w:rsidRPr="00254C32" w:rsidRDefault="00254C32" w:rsidP="00254C32">
      <w:pPr>
        <w:widowControl/>
        <w:shd w:val="clear" w:color="auto" w:fill="FFFFFF"/>
        <w:spacing w:after="240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 </w:t>
      </w:r>
    </w:p>
    <w:p w:rsidR="00254C32" w:rsidRPr="00254C32" w:rsidRDefault="00254C32" w:rsidP="00254C32">
      <w:pPr>
        <w:widowControl/>
        <w:shd w:val="clear" w:color="auto" w:fill="FFFFFF"/>
        <w:spacing w:after="240"/>
        <w:jc w:val="right"/>
        <w:rPr>
          <w:rFonts w:ascii="HiraginoSansGB-W3" w:eastAsia="宋体" w:hAnsi="HiraginoSansGB-W3" w:cs="宋体"/>
          <w:kern w:val="0"/>
          <w:sz w:val="24"/>
          <w:szCs w:val="24"/>
        </w:rPr>
      </w:pPr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编辑：罗</w:t>
      </w:r>
      <w:proofErr w:type="gramStart"/>
      <w:r w:rsidRPr="00254C32">
        <w:rPr>
          <w:rFonts w:ascii="HiraginoSansGB-W3" w:eastAsia="宋体" w:hAnsi="HiraginoSansGB-W3" w:cs="宋体"/>
          <w:kern w:val="0"/>
          <w:sz w:val="24"/>
          <w:szCs w:val="24"/>
        </w:rPr>
        <w:t>浩</w:t>
      </w:r>
      <w:proofErr w:type="gramEnd"/>
    </w:p>
    <w:p w:rsidR="00C71A8A" w:rsidRPr="00254C32" w:rsidRDefault="00C71A8A"/>
    <w:sectPr w:rsidR="00C71A8A" w:rsidRPr="00254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SansGB-W6">
    <w:altName w:val="Times New Roman"/>
    <w:panose1 w:val="00000000000000000000"/>
    <w:charset w:val="00"/>
    <w:family w:val="roman"/>
    <w:notTrueType/>
    <w:pitch w:val="default"/>
  </w:font>
  <w:font w:name="HiraginoSansGB-W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32"/>
    <w:rsid w:val="00254C32"/>
    <w:rsid w:val="00C7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5F3D2-8F49-4E1B-B88A-4A632F23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54C3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54C3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l">
    <w:name w:val="fl"/>
    <w:basedOn w:val="a0"/>
    <w:rsid w:val="00254C32"/>
  </w:style>
  <w:style w:type="paragraph" w:styleId="a3">
    <w:name w:val="Normal (Web)"/>
    <w:basedOn w:val="a"/>
    <w:uiPriority w:val="99"/>
    <w:semiHidden/>
    <w:unhideWhenUsed/>
    <w:rsid w:val="00254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C32"/>
    <w:rPr>
      <w:b/>
      <w:bCs/>
    </w:rPr>
  </w:style>
  <w:style w:type="paragraph" w:customStyle="1" w:styleId="bianji">
    <w:name w:val="bianji"/>
    <w:basedOn w:val="a"/>
    <w:rsid w:val="00254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2020-09-21T08:16:00Z</dcterms:created>
  <dcterms:modified xsi:type="dcterms:W3CDTF">2020-09-21T08:19:00Z</dcterms:modified>
</cp:coreProperties>
</file>